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stylesWithEffects.xml" ContentType="application/vnd.ms-word.stylesWithEffect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document.xml" ContentType="application/vnd.openxmlformats-officedocument.wordprocessingml.document.main+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Default Extension="jpeg" ContentType="image/jpeg"/>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C4" w:rsidRDefault="00323E6D" w:rsidP="001A18C4">
      <w:pPr>
        <w:jc w:val="center"/>
        <w:rPr>
          <w:rFonts w:ascii="Times New Roman" w:hAnsi="Times New Roman"/>
          <w:b/>
          <w:sz w:val="24"/>
        </w:rPr>
      </w:pPr>
      <w:r w:rsidRPr="00100122">
        <w:rPr>
          <w:rFonts w:ascii="Times New Roman" w:hAnsi="Times New Roman"/>
          <w:b/>
          <w:sz w:val="24"/>
        </w:rPr>
        <w:t>Conclusion</w:t>
      </w:r>
    </w:p>
    <w:p w:rsidR="001A18C4" w:rsidRDefault="001A18C4" w:rsidP="001A18C4">
      <w:pPr>
        <w:jc w:val="center"/>
        <w:rPr>
          <w:rFonts w:ascii="Times New Roman" w:hAnsi="Times New Roman"/>
          <w:b/>
          <w:sz w:val="24"/>
        </w:rPr>
      </w:pPr>
    </w:p>
    <w:p w:rsidR="001A18C4" w:rsidRPr="00100122" w:rsidRDefault="001A18C4" w:rsidP="001A18C4">
      <w:pPr>
        <w:jc w:val="center"/>
        <w:rPr>
          <w:rFonts w:ascii="Times New Roman" w:hAnsi="Times New Roman"/>
          <w:b/>
          <w:sz w:val="24"/>
        </w:rPr>
      </w:pPr>
    </w:p>
    <w:p w:rsidR="00E11B35" w:rsidRPr="00100122" w:rsidRDefault="00924E54" w:rsidP="00100122">
      <w:pPr>
        <w:spacing w:line="480" w:lineRule="auto"/>
        <w:ind w:firstLine="720"/>
        <w:rPr>
          <w:rFonts w:ascii="Times New Roman" w:hAnsi="Times New Roman"/>
          <w:sz w:val="24"/>
        </w:rPr>
      </w:pPr>
      <w:r w:rsidRPr="00100122">
        <w:rPr>
          <w:rFonts w:ascii="Times New Roman" w:hAnsi="Times New Roman"/>
          <w:sz w:val="24"/>
        </w:rPr>
        <w:t xml:space="preserve">By 1715, female prophecy as manifested in the groups considered here had begun to change. </w:t>
      </w:r>
      <w:r w:rsidR="00E11B35" w:rsidRPr="00100122">
        <w:rPr>
          <w:rFonts w:ascii="Times New Roman" w:hAnsi="Times New Roman"/>
          <w:sz w:val="24"/>
        </w:rPr>
        <w:t xml:space="preserve">The Quakers, </w:t>
      </w:r>
      <w:r w:rsidRPr="00100122">
        <w:rPr>
          <w:rFonts w:ascii="Times New Roman" w:hAnsi="Times New Roman"/>
          <w:sz w:val="24"/>
        </w:rPr>
        <w:t>well into the thir</w:t>
      </w:r>
      <w:r w:rsidR="00E11B35" w:rsidRPr="00100122">
        <w:rPr>
          <w:rFonts w:ascii="Times New Roman" w:hAnsi="Times New Roman"/>
          <w:sz w:val="24"/>
        </w:rPr>
        <w:t>d generation of their existence, still</w:t>
      </w:r>
      <w:r w:rsidRPr="00100122">
        <w:rPr>
          <w:rFonts w:ascii="Times New Roman" w:hAnsi="Times New Roman"/>
          <w:sz w:val="24"/>
        </w:rPr>
        <w:t xml:space="preserve"> accepted women as prophets and missionaries in their movement</w:t>
      </w:r>
      <w:r w:rsidR="00E11B35" w:rsidRPr="00100122">
        <w:rPr>
          <w:rFonts w:ascii="Times New Roman" w:hAnsi="Times New Roman"/>
          <w:sz w:val="24"/>
        </w:rPr>
        <w:t>. But</w:t>
      </w:r>
      <w:r w:rsidRPr="00100122">
        <w:rPr>
          <w:rFonts w:ascii="Times New Roman" w:hAnsi="Times New Roman"/>
          <w:sz w:val="24"/>
        </w:rPr>
        <w:t xml:space="preserve"> the millenarian context in which Quakerism developed had waned. Deborah Bell, a young Yorkshire Quaker, managed to attract crowds at the meetings in her hometown when she </w:t>
      </w:r>
      <w:r w:rsidR="00744C6B" w:rsidRPr="00100122">
        <w:rPr>
          <w:rFonts w:ascii="Times New Roman" w:hAnsi="Times New Roman"/>
          <w:sz w:val="24"/>
        </w:rPr>
        <w:t>spoke</w:t>
      </w:r>
      <w:r w:rsidRPr="00100122">
        <w:rPr>
          <w:rFonts w:ascii="Times New Roman" w:hAnsi="Times New Roman"/>
          <w:sz w:val="24"/>
        </w:rPr>
        <w:t xml:space="preserve">. </w:t>
      </w:r>
      <w:r w:rsidR="00E11B35" w:rsidRPr="00100122">
        <w:rPr>
          <w:rFonts w:ascii="Times New Roman" w:hAnsi="Times New Roman"/>
          <w:sz w:val="24"/>
        </w:rPr>
        <w:t>However,</w:t>
      </w:r>
      <w:r w:rsidRPr="00100122">
        <w:rPr>
          <w:rFonts w:ascii="Times New Roman" w:hAnsi="Times New Roman"/>
          <w:sz w:val="24"/>
        </w:rPr>
        <w:t xml:space="preserve"> they came mainly out of curiosity to see the young woman preach. Indeed, Bell’s lengthy 1711 defense of female prophecy and preaching—perhaps the most substantial defense since Margaret Fell Fox’s</w:t>
      </w:r>
      <w:r w:rsidR="00E421DC" w:rsidRPr="00100122">
        <w:rPr>
          <w:rFonts w:ascii="Times New Roman" w:hAnsi="Times New Roman"/>
          <w:sz w:val="24"/>
        </w:rPr>
        <w:t xml:space="preserve"> 1667</w:t>
      </w:r>
      <w:r w:rsidRPr="00100122">
        <w:rPr>
          <w:rFonts w:ascii="Times New Roman" w:hAnsi="Times New Roman"/>
          <w:sz w:val="24"/>
        </w:rPr>
        <w:t xml:space="preserve"> treatise on the subject—used the terms “preaching” and </w:t>
      </w:r>
      <w:r w:rsidR="001F5B31" w:rsidRPr="00100122">
        <w:rPr>
          <w:rFonts w:ascii="Times New Roman" w:hAnsi="Times New Roman"/>
          <w:sz w:val="24"/>
        </w:rPr>
        <w:t>“prophesying” interchangeably. According to Bell, p</w:t>
      </w:r>
      <w:r w:rsidRPr="00100122">
        <w:rPr>
          <w:rFonts w:ascii="Times New Roman" w:hAnsi="Times New Roman"/>
          <w:sz w:val="24"/>
        </w:rPr>
        <w:t xml:space="preserve">reaching, prophesying, and praying </w:t>
      </w:r>
      <w:r w:rsidR="001F5B31" w:rsidRPr="00100122">
        <w:rPr>
          <w:rFonts w:ascii="Times New Roman" w:hAnsi="Times New Roman"/>
          <w:sz w:val="24"/>
        </w:rPr>
        <w:t>publicly were all</w:t>
      </w:r>
      <w:r w:rsidRPr="00100122">
        <w:rPr>
          <w:rFonts w:ascii="Times New Roman" w:hAnsi="Times New Roman"/>
          <w:sz w:val="24"/>
        </w:rPr>
        <w:t xml:space="preserve"> acts of religious expression, and they were all open to women as well as men.</w:t>
      </w:r>
      <w:r w:rsidR="0049425A" w:rsidRPr="00100122">
        <w:rPr>
          <w:rStyle w:val="FootnoteReference"/>
          <w:rFonts w:ascii="Times New Roman" w:hAnsi="Times New Roman"/>
          <w:sz w:val="24"/>
        </w:rPr>
        <w:footnoteReference w:id="1"/>
      </w:r>
      <w:r w:rsidR="0049425A" w:rsidRPr="00100122">
        <w:rPr>
          <w:rFonts w:ascii="Times New Roman" w:hAnsi="Times New Roman"/>
          <w:sz w:val="24"/>
        </w:rPr>
        <w:t xml:space="preserve"> </w:t>
      </w:r>
      <w:r w:rsidR="00E11B35" w:rsidRPr="00100122">
        <w:rPr>
          <w:rFonts w:ascii="Times New Roman" w:hAnsi="Times New Roman"/>
          <w:sz w:val="24"/>
        </w:rPr>
        <w:t>For Bell, prophe</w:t>
      </w:r>
      <w:r w:rsidR="001B4366" w:rsidRPr="00100122">
        <w:rPr>
          <w:rFonts w:ascii="Times New Roman" w:hAnsi="Times New Roman"/>
          <w:sz w:val="24"/>
        </w:rPr>
        <w:t xml:space="preserve">sying had </w:t>
      </w:r>
      <w:r w:rsidR="00861487" w:rsidRPr="00100122">
        <w:rPr>
          <w:rFonts w:ascii="Times New Roman" w:hAnsi="Times New Roman"/>
          <w:sz w:val="24"/>
        </w:rPr>
        <w:t>less</w:t>
      </w:r>
      <w:r w:rsidR="001B4366" w:rsidRPr="00100122">
        <w:rPr>
          <w:rFonts w:ascii="Times New Roman" w:hAnsi="Times New Roman"/>
          <w:sz w:val="24"/>
        </w:rPr>
        <w:t xml:space="preserve"> to do with </w:t>
      </w:r>
      <w:r w:rsidR="00E421DC" w:rsidRPr="00100122">
        <w:rPr>
          <w:rFonts w:ascii="Times New Roman" w:hAnsi="Times New Roman"/>
          <w:sz w:val="24"/>
        </w:rPr>
        <w:t xml:space="preserve">the </w:t>
      </w:r>
      <w:r w:rsidR="00E11B35" w:rsidRPr="00100122">
        <w:rPr>
          <w:rFonts w:ascii="Times New Roman" w:hAnsi="Times New Roman"/>
          <w:sz w:val="24"/>
        </w:rPr>
        <w:t xml:space="preserve">warnings of the early Quakers </w:t>
      </w:r>
      <w:r w:rsidR="001B4366" w:rsidRPr="00100122">
        <w:rPr>
          <w:rFonts w:ascii="Times New Roman" w:hAnsi="Times New Roman"/>
          <w:sz w:val="24"/>
        </w:rPr>
        <w:t xml:space="preserve">who believed themselves to be living in the last days, </w:t>
      </w:r>
      <w:r w:rsidR="00E11B35" w:rsidRPr="00100122">
        <w:rPr>
          <w:rFonts w:ascii="Times New Roman" w:hAnsi="Times New Roman"/>
          <w:sz w:val="24"/>
        </w:rPr>
        <w:t xml:space="preserve">and more to do with </w:t>
      </w:r>
      <w:r w:rsidR="00861487" w:rsidRPr="00100122">
        <w:rPr>
          <w:rFonts w:ascii="Times New Roman" w:hAnsi="Times New Roman"/>
          <w:sz w:val="24"/>
        </w:rPr>
        <w:t>a focus on the conduct of her fellow Quakers</w:t>
      </w:r>
      <w:r w:rsidR="00E11B35" w:rsidRPr="00100122">
        <w:rPr>
          <w:rFonts w:ascii="Times New Roman" w:hAnsi="Times New Roman"/>
          <w:sz w:val="24"/>
        </w:rPr>
        <w:t>.</w:t>
      </w:r>
      <w:r w:rsidR="00861487" w:rsidRPr="00100122">
        <w:rPr>
          <w:rStyle w:val="FootnoteReference"/>
          <w:rFonts w:ascii="Times New Roman" w:hAnsi="Times New Roman"/>
          <w:sz w:val="24"/>
        </w:rPr>
        <w:footnoteReference w:id="2"/>
      </w:r>
    </w:p>
    <w:p w:rsidR="000E752E" w:rsidRPr="00100122" w:rsidRDefault="00970D54" w:rsidP="00193B35">
      <w:pPr>
        <w:spacing w:line="480" w:lineRule="auto"/>
        <w:ind w:firstLine="720"/>
        <w:rPr>
          <w:rFonts w:ascii="Times New Roman" w:hAnsi="Times New Roman"/>
          <w:sz w:val="24"/>
        </w:rPr>
      </w:pPr>
      <w:r w:rsidRPr="00100122">
        <w:rPr>
          <w:rFonts w:ascii="Times New Roman" w:hAnsi="Times New Roman"/>
          <w:sz w:val="24"/>
        </w:rPr>
        <w:t>By the end of the Stuart era, o</w:t>
      </w:r>
      <w:r w:rsidR="00B338C8" w:rsidRPr="00100122">
        <w:rPr>
          <w:rFonts w:ascii="Times New Roman" w:hAnsi="Times New Roman"/>
          <w:sz w:val="24"/>
        </w:rPr>
        <w:t xml:space="preserve">ther groups that had emerged out of the Civil Wars—such as </w:t>
      </w:r>
      <w:r w:rsidRPr="00100122">
        <w:rPr>
          <w:rFonts w:ascii="Times New Roman" w:hAnsi="Times New Roman"/>
          <w:sz w:val="24"/>
        </w:rPr>
        <w:t xml:space="preserve">the </w:t>
      </w:r>
      <w:r w:rsidR="00B338C8" w:rsidRPr="00100122">
        <w:rPr>
          <w:rFonts w:ascii="Times New Roman" w:hAnsi="Times New Roman"/>
          <w:sz w:val="24"/>
        </w:rPr>
        <w:t xml:space="preserve">General Baptists, Particular Baptists, Independents, Fifth Monarchists, and Seventh-Day Baptists—had either died out or </w:t>
      </w:r>
      <w:r w:rsidR="00744C6B" w:rsidRPr="00100122">
        <w:rPr>
          <w:rFonts w:ascii="Times New Roman" w:hAnsi="Times New Roman"/>
          <w:sz w:val="24"/>
        </w:rPr>
        <w:t>abandoned</w:t>
      </w:r>
      <w:r w:rsidRPr="00100122">
        <w:rPr>
          <w:rFonts w:ascii="Times New Roman" w:hAnsi="Times New Roman"/>
          <w:sz w:val="24"/>
        </w:rPr>
        <w:t xml:space="preserve"> their intense chiliasm</w:t>
      </w:r>
      <w:r w:rsidR="00B338C8" w:rsidRPr="00100122">
        <w:rPr>
          <w:rFonts w:ascii="Times New Roman" w:hAnsi="Times New Roman"/>
          <w:sz w:val="24"/>
        </w:rPr>
        <w:t>.</w:t>
      </w:r>
      <w:r w:rsidR="00B338C8" w:rsidRPr="00100122">
        <w:rPr>
          <w:rStyle w:val="FootnoteReference"/>
          <w:rFonts w:ascii="Times New Roman" w:hAnsi="Times New Roman"/>
          <w:sz w:val="24"/>
        </w:rPr>
        <w:footnoteReference w:id="3"/>
      </w:r>
      <w:r w:rsidR="00193B35" w:rsidRPr="00100122">
        <w:rPr>
          <w:rFonts w:ascii="Times New Roman" w:hAnsi="Times New Roman"/>
          <w:sz w:val="24"/>
        </w:rPr>
        <w:t xml:space="preserve"> </w:t>
      </w:r>
      <w:r w:rsidR="007A0C4A" w:rsidRPr="00100122">
        <w:rPr>
          <w:rFonts w:ascii="Times New Roman" w:hAnsi="Times New Roman"/>
          <w:sz w:val="24"/>
        </w:rPr>
        <w:t>In</w:t>
      </w:r>
      <w:r w:rsidR="00E437E9" w:rsidRPr="00100122">
        <w:rPr>
          <w:rFonts w:ascii="Times New Roman" w:hAnsi="Times New Roman"/>
          <w:sz w:val="24"/>
        </w:rPr>
        <w:t xml:space="preserve"> 1715, </w:t>
      </w:r>
      <w:r w:rsidR="000A52DC" w:rsidRPr="00100122">
        <w:rPr>
          <w:rFonts w:ascii="Times New Roman" w:hAnsi="Times New Roman"/>
          <w:sz w:val="24"/>
        </w:rPr>
        <w:t>Labadists</w:t>
      </w:r>
      <w:r w:rsidR="00744C6B" w:rsidRPr="00100122">
        <w:rPr>
          <w:rFonts w:ascii="Times New Roman" w:hAnsi="Times New Roman"/>
          <w:sz w:val="24"/>
        </w:rPr>
        <w:t xml:space="preserve"> still</w:t>
      </w:r>
      <w:r w:rsidR="000A52DC" w:rsidRPr="00100122">
        <w:rPr>
          <w:rFonts w:ascii="Times New Roman" w:hAnsi="Times New Roman"/>
          <w:sz w:val="24"/>
        </w:rPr>
        <w:t xml:space="preserve"> </w:t>
      </w:r>
      <w:r w:rsidR="00E437E9" w:rsidRPr="00100122">
        <w:rPr>
          <w:rFonts w:ascii="Times New Roman" w:hAnsi="Times New Roman"/>
          <w:sz w:val="24"/>
        </w:rPr>
        <w:t xml:space="preserve">existed in </w:t>
      </w:r>
      <w:r w:rsidR="00744C6B" w:rsidRPr="00100122">
        <w:rPr>
          <w:rFonts w:ascii="Times New Roman" w:hAnsi="Times New Roman"/>
          <w:sz w:val="24"/>
        </w:rPr>
        <w:t>on both sides of the Atlantic but the nuclei of their</w:t>
      </w:r>
      <w:r w:rsidR="00E437E9" w:rsidRPr="00100122">
        <w:rPr>
          <w:rFonts w:ascii="Times New Roman" w:hAnsi="Times New Roman"/>
          <w:sz w:val="24"/>
        </w:rPr>
        <w:t xml:space="preserve"> communities had disintegrated.</w:t>
      </w:r>
      <w:r w:rsidR="00E437E9" w:rsidRPr="00100122">
        <w:rPr>
          <w:rStyle w:val="FootnoteReference"/>
          <w:rFonts w:ascii="Times New Roman" w:hAnsi="Times New Roman"/>
          <w:sz w:val="24"/>
        </w:rPr>
        <w:footnoteReference w:id="4"/>
      </w:r>
      <w:r w:rsidRPr="00100122">
        <w:rPr>
          <w:rFonts w:ascii="Times New Roman" w:hAnsi="Times New Roman"/>
          <w:sz w:val="24"/>
        </w:rPr>
        <w:t xml:space="preserve"> For t</w:t>
      </w:r>
      <w:r w:rsidR="008D68FF" w:rsidRPr="00100122">
        <w:rPr>
          <w:rFonts w:ascii="Times New Roman" w:hAnsi="Times New Roman"/>
          <w:sz w:val="24"/>
        </w:rPr>
        <w:t xml:space="preserve">he French Prophets, the years after 1715 </w:t>
      </w:r>
      <w:r w:rsidR="00744C6B" w:rsidRPr="00100122">
        <w:rPr>
          <w:rFonts w:ascii="Times New Roman" w:hAnsi="Times New Roman"/>
          <w:sz w:val="24"/>
        </w:rPr>
        <w:t>brought</w:t>
      </w:r>
      <w:r w:rsidR="008D68FF" w:rsidRPr="00100122">
        <w:rPr>
          <w:rFonts w:ascii="Times New Roman" w:hAnsi="Times New Roman"/>
          <w:sz w:val="24"/>
        </w:rPr>
        <w:t xml:space="preserve"> death, dispersion, and a decline in prophecy.</w:t>
      </w:r>
      <w:r w:rsidR="008D68FF" w:rsidRPr="00100122">
        <w:rPr>
          <w:rStyle w:val="FootnoteReference"/>
          <w:rFonts w:ascii="Times New Roman" w:hAnsi="Times New Roman"/>
          <w:sz w:val="24"/>
        </w:rPr>
        <w:footnoteReference w:id="5"/>
      </w:r>
      <w:r w:rsidR="007223A2" w:rsidRPr="00100122">
        <w:rPr>
          <w:rFonts w:ascii="Times New Roman" w:hAnsi="Times New Roman"/>
          <w:sz w:val="24"/>
        </w:rPr>
        <w:t xml:space="preserve"> </w:t>
      </w:r>
      <w:r w:rsidR="00D90934" w:rsidRPr="00100122">
        <w:rPr>
          <w:rFonts w:ascii="Times New Roman" w:hAnsi="Times New Roman"/>
          <w:sz w:val="24"/>
        </w:rPr>
        <w:t>Many of the most prolific female prophets a</w:t>
      </w:r>
      <w:r w:rsidR="0076778D">
        <w:rPr>
          <w:rFonts w:ascii="Times New Roman" w:hAnsi="Times New Roman"/>
          <w:sz w:val="24"/>
        </w:rPr>
        <w:t>mong radical Pietist groups—Rosa</w:t>
      </w:r>
      <w:r w:rsidR="00D90934" w:rsidRPr="00100122">
        <w:rPr>
          <w:rFonts w:ascii="Times New Roman" w:hAnsi="Times New Roman"/>
          <w:sz w:val="24"/>
        </w:rPr>
        <w:t>mund</w:t>
      </w:r>
      <w:r w:rsidR="0076778D">
        <w:rPr>
          <w:rFonts w:ascii="Times New Roman" w:hAnsi="Times New Roman"/>
          <w:sz w:val="24"/>
        </w:rPr>
        <w:t>e</w:t>
      </w:r>
      <w:r w:rsidR="00D90934" w:rsidRPr="00100122">
        <w:rPr>
          <w:rFonts w:ascii="Times New Roman" w:hAnsi="Times New Roman"/>
          <w:sz w:val="24"/>
        </w:rPr>
        <w:t xml:space="preserve"> von Asseburg, Johanna Petersen, </w:t>
      </w:r>
      <w:r w:rsidR="001D3E61" w:rsidRPr="00100122">
        <w:rPr>
          <w:rFonts w:ascii="Times New Roman" w:hAnsi="Times New Roman"/>
          <w:sz w:val="24"/>
        </w:rPr>
        <w:t>Anna Maria Schuchart, Eva von Buttlar—also flourished before 1715.</w:t>
      </w:r>
      <w:r w:rsidR="001D3E61" w:rsidRPr="00100122">
        <w:rPr>
          <w:rStyle w:val="FootnoteReference"/>
          <w:rFonts w:ascii="Times New Roman" w:hAnsi="Times New Roman"/>
          <w:sz w:val="24"/>
        </w:rPr>
        <w:footnoteReference w:id="6"/>
      </w:r>
    </w:p>
    <w:p w:rsidR="00A81B80" w:rsidRPr="00100122" w:rsidRDefault="00AB7D48" w:rsidP="005123DF">
      <w:pPr>
        <w:spacing w:line="480" w:lineRule="auto"/>
        <w:ind w:firstLine="720"/>
        <w:rPr>
          <w:rFonts w:ascii="Times New Roman" w:hAnsi="Times New Roman"/>
          <w:sz w:val="24"/>
        </w:rPr>
      </w:pPr>
      <w:r w:rsidRPr="00100122">
        <w:rPr>
          <w:rFonts w:ascii="Times New Roman" w:hAnsi="Times New Roman"/>
          <w:sz w:val="24"/>
        </w:rPr>
        <w:t xml:space="preserve">While these groups and their female prophets declined, however, </w:t>
      </w:r>
      <w:r w:rsidR="00882F5C" w:rsidRPr="00100122">
        <w:rPr>
          <w:rFonts w:ascii="Times New Roman" w:hAnsi="Times New Roman"/>
          <w:sz w:val="24"/>
        </w:rPr>
        <w:t>campaigns</w:t>
      </w:r>
      <w:r w:rsidRPr="00100122">
        <w:rPr>
          <w:rFonts w:ascii="Times New Roman" w:hAnsi="Times New Roman"/>
          <w:sz w:val="24"/>
        </w:rPr>
        <w:t xml:space="preserve"> for </w:t>
      </w:r>
      <w:r w:rsidR="00882F5C" w:rsidRPr="00100122">
        <w:rPr>
          <w:rFonts w:ascii="Times New Roman" w:hAnsi="Times New Roman"/>
          <w:sz w:val="24"/>
        </w:rPr>
        <w:t xml:space="preserve">religious </w:t>
      </w:r>
      <w:r w:rsidRPr="00100122">
        <w:rPr>
          <w:rFonts w:ascii="Times New Roman" w:hAnsi="Times New Roman"/>
          <w:sz w:val="24"/>
        </w:rPr>
        <w:t xml:space="preserve">reform </w:t>
      </w:r>
      <w:r w:rsidR="00882F5C" w:rsidRPr="00100122">
        <w:rPr>
          <w:rFonts w:ascii="Times New Roman" w:hAnsi="Times New Roman"/>
          <w:sz w:val="24"/>
        </w:rPr>
        <w:t xml:space="preserve">and spiritual renewal </w:t>
      </w:r>
      <w:r w:rsidRPr="00100122">
        <w:rPr>
          <w:rFonts w:ascii="Times New Roman" w:hAnsi="Times New Roman"/>
          <w:sz w:val="24"/>
        </w:rPr>
        <w:t xml:space="preserve">continued </w:t>
      </w:r>
      <w:r w:rsidR="002D24A9" w:rsidRPr="00100122">
        <w:rPr>
          <w:rFonts w:ascii="Times New Roman" w:hAnsi="Times New Roman"/>
          <w:sz w:val="24"/>
        </w:rPr>
        <w:t>in</w:t>
      </w:r>
      <w:r w:rsidR="003C05E8" w:rsidRPr="00100122">
        <w:rPr>
          <w:rFonts w:ascii="Times New Roman" w:hAnsi="Times New Roman"/>
          <w:sz w:val="24"/>
        </w:rPr>
        <w:t>to</w:t>
      </w:r>
      <w:r w:rsidR="00E421DC" w:rsidRPr="00100122">
        <w:rPr>
          <w:rFonts w:ascii="Times New Roman" w:hAnsi="Times New Roman"/>
          <w:sz w:val="24"/>
        </w:rPr>
        <w:t xml:space="preserve"> the </w:t>
      </w:r>
      <w:r w:rsidR="002D24A9" w:rsidRPr="00100122">
        <w:rPr>
          <w:rFonts w:ascii="Times New Roman" w:hAnsi="Times New Roman"/>
          <w:sz w:val="24"/>
        </w:rPr>
        <w:t>mid-</w:t>
      </w:r>
      <w:r w:rsidR="00E421DC" w:rsidRPr="00100122">
        <w:rPr>
          <w:rFonts w:ascii="Times New Roman" w:hAnsi="Times New Roman"/>
          <w:sz w:val="24"/>
        </w:rPr>
        <w:t>eighteenth century with</w:t>
      </w:r>
      <w:r w:rsidR="005123DF" w:rsidRPr="00100122">
        <w:rPr>
          <w:rFonts w:ascii="Times New Roman" w:hAnsi="Times New Roman"/>
          <w:sz w:val="24"/>
        </w:rPr>
        <w:t xml:space="preserve"> the rise of Methodism and the transatlantic revivals.</w:t>
      </w:r>
      <w:r w:rsidR="00882F5C" w:rsidRPr="00100122">
        <w:rPr>
          <w:rStyle w:val="FootnoteReference"/>
          <w:rFonts w:ascii="Times New Roman" w:hAnsi="Times New Roman"/>
          <w:sz w:val="24"/>
        </w:rPr>
        <w:footnoteReference w:id="7"/>
      </w:r>
      <w:r w:rsidR="005123DF" w:rsidRPr="00100122">
        <w:rPr>
          <w:rFonts w:ascii="Times New Roman" w:hAnsi="Times New Roman"/>
          <w:sz w:val="24"/>
        </w:rPr>
        <w:t xml:space="preserve"> </w:t>
      </w:r>
      <w:r w:rsidRPr="00100122">
        <w:rPr>
          <w:rFonts w:ascii="Times New Roman" w:hAnsi="Times New Roman"/>
          <w:sz w:val="24"/>
        </w:rPr>
        <w:t>This dissertation has considered</w:t>
      </w:r>
      <w:r w:rsidR="00982797" w:rsidRPr="00100122">
        <w:rPr>
          <w:rFonts w:ascii="Times New Roman" w:hAnsi="Times New Roman"/>
          <w:sz w:val="24"/>
        </w:rPr>
        <w:t xml:space="preserve"> how a transnational religious sphere, propelled by the mechanisms and structures of an emerging public sphere, </w:t>
      </w:r>
      <w:r w:rsidR="00A0599C" w:rsidRPr="00100122">
        <w:rPr>
          <w:rFonts w:ascii="Times New Roman" w:hAnsi="Times New Roman"/>
          <w:sz w:val="24"/>
        </w:rPr>
        <w:t>emerged</w:t>
      </w:r>
      <w:r w:rsidR="00982797" w:rsidRPr="00100122">
        <w:rPr>
          <w:rFonts w:ascii="Times New Roman" w:hAnsi="Times New Roman"/>
          <w:sz w:val="24"/>
        </w:rPr>
        <w:t xml:space="preserve"> in the generation before revivalists turned </w:t>
      </w:r>
      <w:r w:rsidR="001B4366" w:rsidRPr="00100122">
        <w:rPr>
          <w:rFonts w:ascii="Times New Roman" w:hAnsi="Times New Roman"/>
          <w:sz w:val="24"/>
        </w:rPr>
        <w:t>to similar</w:t>
      </w:r>
      <w:r w:rsidR="00982797" w:rsidRPr="00100122">
        <w:rPr>
          <w:rFonts w:ascii="Times New Roman" w:hAnsi="Times New Roman"/>
          <w:sz w:val="24"/>
        </w:rPr>
        <w:t xml:space="preserve"> mechanisms to create the</w:t>
      </w:r>
      <w:r w:rsidR="00CF10C3" w:rsidRPr="00100122">
        <w:rPr>
          <w:rFonts w:ascii="Times New Roman" w:hAnsi="Times New Roman"/>
          <w:sz w:val="24"/>
        </w:rPr>
        <w:t>ir own religious public sphere</w:t>
      </w:r>
      <w:r w:rsidR="00744C6B" w:rsidRPr="00100122">
        <w:rPr>
          <w:rFonts w:ascii="Times New Roman" w:hAnsi="Times New Roman"/>
          <w:sz w:val="24"/>
        </w:rPr>
        <w:t xml:space="preserve">. </w:t>
      </w:r>
      <w:r w:rsidR="00E11B35" w:rsidRPr="00100122">
        <w:rPr>
          <w:rFonts w:ascii="Times New Roman" w:hAnsi="Times New Roman"/>
          <w:sz w:val="24"/>
        </w:rPr>
        <w:t xml:space="preserve">I have argued that </w:t>
      </w:r>
      <w:r w:rsidR="00FC242D" w:rsidRPr="00100122">
        <w:rPr>
          <w:rFonts w:ascii="Times New Roman" w:hAnsi="Times New Roman"/>
          <w:sz w:val="24"/>
        </w:rPr>
        <w:t xml:space="preserve">a transnational religious </w:t>
      </w:r>
      <w:r w:rsidR="00CF10C3" w:rsidRPr="00100122">
        <w:rPr>
          <w:rFonts w:ascii="Times New Roman" w:hAnsi="Times New Roman"/>
          <w:sz w:val="24"/>
        </w:rPr>
        <w:t>sphere</w:t>
      </w:r>
      <w:r w:rsidR="00FC242D" w:rsidRPr="00100122">
        <w:rPr>
          <w:rFonts w:ascii="Times New Roman" w:hAnsi="Times New Roman"/>
          <w:sz w:val="24"/>
        </w:rPr>
        <w:t xml:space="preserve"> of </w:t>
      </w:r>
      <w:r w:rsidR="00A97F11" w:rsidRPr="00100122">
        <w:rPr>
          <w:rFonts w:ascii="Times New Roman" w:hAnsi="Times New Roman"/>
          <w:sz w:val="24"/>
        </w:rPr>
        <w:t xml:space="preserve">seventeenth-century </w:t>
      </w:r>
      <w:r w:rsidR="00FC242D" w:rsidRPr="00100122">
        <w:rPr>
          <w:rFonts w:ascii="Times New Roman" w:hAnsi="Times New Roman"/>
          <w:sz w:val="24"/>
        </w:rPr>
        <w:t>dissenters</w:t>
      </w:r>
      <w:r w:rsidR="00CF10C3" w:rsidRPr="00100122">
        <w:rPr>
          <w:rFonts w:ascii="Times New Roman" w:hAnsi="Times New Roman"/>
          <w:sz w:val="24"/>
        </w:rPr>
        <w:t xml:space="preserve"> </w:t>
      </w:r>
      <w:r w:rsidR="00472D7D">
        <w:rPr>
          <w:rFonts w:ascii="Times New Roman" w:hAnsi="Times New Roman"/>
          <w:sz w:val="24"/>
        </w:rPr>
        <w:t>informed</w:t>
      </w:r>
      <w:r w:rsidR="00CF10C3" w:rsidRPr="00100122">
        <w:rPr>
          <w:rFonts w:ascii="Times New Roman" w:hAnsi="Times New Roman"/>
          <w:sz w:val="24"/>
        </w:rPr>
        <w:t xml:space="preserve"> the transatlantic awakenings in </w:t>
      </w:r>
      <w:r w:rsidR="003A01F7" w:rsidRPr="00100122">
        <w:rPr>
          <w:rFonts w:ascii="Times New Roman" w:hAnsi="Times New Roman"/>
          <w:sz w:val="24"/>
        </w:rPr>
        <w:t>a way tha</w:t>
      </w:r>
      <w:r w:rsidR="00CF10C3" w:rsidRPr="00100122">
        <w:rPr>
          <w:rFonts w:ascii="Times New Roman" w:hAnsi="Times New Roman"/>
          <w:sz w:val="24"/>
        </w:rPr>
        <w:t xml:space="preserve">t challenges the </w:t>
      </w:r>
      <w:r w:rsidR="003A01F7" w:rsidRPr="00100122">
        <w:rPr>
          <w:rFonts w:ascii="Times New Roman" w:hAnsi="Times New Roman"/>
          <w:sz w:val="24"/>
        </w:rPr>
        <w:t>construct</w:t>
      </w:r>
      <w:r w:rsidR="00CF10C3" w:rsidRPr="00100122">
        <w:rPr>
          <w:rFonts w:ascii="Times New Roman" w:hAnsi="Times New Roman"/>
          <w:sz w:val="24"/>
        </w:rPr>
        <w:t xml:space="preserve"> of </w:t>
      </w:r>
      <w:r w:rsidR="00CF10C3" w:rsidRPr="00100122">
        <w:rPr>
          <w:rFonts w:ascii="Times New Roman" w:hAnsi="Times New Roman"/>
          <w:i/>
          <w:sz w:val="24"/>
        </w:rPr>
        <w:t xml:space="preserve">the </w:t>
      </w:r>
      <w:r w:rsidR="00CF10C3" w:rsidRPr="00100122">
        <w:rPr>
          <w:rFonts w:ascii="Times New Roman" w:hAnsi="Times New Roman"/>
          <w:sz w:val="24"/>
        </w:rPr>
        <w:t>Great Awakening. Scholars such as Jon Butler</w:t>
      </w:r>
      <w:r w:rsidR="00B43B1C" w:rsidRPr="00100122">
        <w:rPr>
          <w:rFonts w:ascii="Times New Roman" w:hAnsi="Times New Roman"/>
          <w:sz w:val="24"/>
        </w:rPr>
        <w:t>, Frank Lambert, and Joseph Conforti</w:t>
      </w:r>
      <w:r w:rsidR="00CF10C3" w:rsidRPr="00100122">
        <w:rPr>
          <w:rFonts w:ascii="Times New Roman" w:hAnsi="Times New Roman"/>
          <w:sz w:val="24"/>
        </w:rPr>
        <w:t xml:space="preserve"> have </w:t>
      </w:r>
      <w:r w:rsidR="003A01F7" w:rsidRPr="00100122">
        <w:rPr>
          <w:rFonts w:ascii="Times New Roman" w:hAnsi="Times New Roman"/>
          <w:sz w:val="24"/>
        </w:rPr>
        <w:t>questioned</w:t>
      </w:r>
      <w:r w:rsidR="00B43B1C" w:rsidRPr="00100122">
        <w:rPr>
          <w:rFonts w:ascii="Times New Roman" w:hAnsi="Times New Roman"/>
          <w:sz w:val="24"/>
        </w:rPr>
        <w:t xml:space="preserve"> the idea of a single, cohesive awakening</w:t>
      </w:r>
      <w:r w:rsidR="00CF10C3" w:rsidRPr="00100122">
        <w:rPr>
          <w:rFonts w:ascii="Times New Roman" w:hAnsi="Times New Roman"/>
          <w:sz w:val="24"/>
        </w:rPr>
        <w:t xml:space="preserve">. Rather, </w:t>
      </w:r>
      <w:r w:rsidR="00B43B1C" w:rsidRPr="00100122">
        <w:rPr>
          <w:rFonts w:ascii="Times New Roman" w:hAnsi="Times New Roman"/>
          <w:sz w:val="24"/>
        </w:rPr>
        <w:t>they propose that there were a series of small-scale revivals that were neither uniquely Calvinist nor uniquely American. The prophets in this study certainly support this argument</w:t>
      </w:r>
      <w:r w:rsidR="003A01F7" w:rsidRPr="00100122">
        <w:rPr>
          <w:rFonts w:ascii="Times New Roman" w:hAnsi="Times New Roman"/>
          <w:sz w:val="24"/>
        </w:rPr>
        <w:t>. They made their own</w:t>
      </w:r>
      <w:r w:rsidR="00B43B1C" w:rsidRPr="00100122">
        <w:rPr>
          <w:rFonts w:ascii="Times New Roman" w:hAnsi="Times New Roman"/>
          <w:sz w:val="24"/>
        </w:rPr>
        <w:t xml:space="preserve"> </w:t>
      </w:r>
      <w:r w:rsidR="00092B98" w:rsidRPr="00100122">
        <w:rPr>
          <w:rFonts w:ascii="Times New Roman" w:hAnsi="Times New Roman"/>
          <w:sz w:val="24"/>
        </w:rPr>
        <w:t>transnational</w:t>
      </w:r>
      <w:r w:rsidR="00B43B1C" w:rsidRPr="00100122">
        <w:rPr>
          <w:rFonts w:ascii="Times New Roman" w:hAnsi="Times New Roman"/>
          <w:sz w:val="24"/>
        </w:rPr>
        <w:t xml:space="preserve"> attempts at spiritual renewal</w:t>
      </w:r>
      <w:r w:rsidR="003A01F7" w:rsidRPr="00100122">
        <w:rPr>
          <w:rFonts w:ascii="Times New Roman" w:hAnsi="Times New Roman"/>
          <w:sz w:val="24"/>
        </w:rPr>
        <w:t xml:space="preserve"> a full generation before the revivalists, and they did so through the creation of a religious sphere that </w:t>
      </w:r>
      <w:r w:rsidR="005D21C6" w:rsidRPr="00100122">
        <w:rPr>
          <w:rFonts w:ascii="Times New Roman" w:hAnsi="Times New Roman"/>
          <w:sz w:val="24"/>
        </w:rPr>
        <w:t>anticipated</w:t>
      </w:r>
      <w:r w:rsidR="003A01F7" w:rsidRPr="00100122">
        <w:rPr>
          <w:rFonts w:ascii="Times New Roman" w:hAnsi="Times New Roman"/>
          <w:sz w:val="24"/>
        </w:rPr>
        <w:t xml:space="preserve"> the more fully developed religious public sphere of the revivalists</w:t>
      </w:r>
      <w:r w:rsidR="00A81B80" w:rsidRPr="00100122">
        <w:rPr>
          <w:rFonts w:ascii="Times New Roman" w:hAnsi="Times New Roman"/>
          <w:sz w:val="24"/>
        </w:rPr>
        <w:t>.</w:t>
      </w:r>
    </w:p>
    <w:p w:rsidR="007E18C3" w:rsidRPr="00100122" w:rsidRDefault="00A81B80" w:rsidP="007E18C3">
      <w:pPr>
        <w:spacing w:line="480" w:lineRule="auto"/>
        <w:rPr>
          <w:rFonts w:ascii="Times New Roman" w:hAnsi="Times New Roman"/>
          <w:sz w:val="24"/>
        </w:rPr>
      </w:pPr>
      <w:r w:rsidRPr="00100122">
        <w:rPr>
          <w:rFonts w:ascii="Times New Roman" w:hAnsi="Times New Roman"/>
          <w:sz w:val="24"/>
        </w:rPr>
        <w:tab/>
        <w:t xml:space="preserve">Unlike the </w:t>
      </w:r>
      <w:r w:rsidR="00092B98" w:rsidRPr="00100122">
        <w:rPr>
          <w:rFonts w:ascii="Times New Roman" w:hAnsi="Times New Roman"/>
          <w:sz w:val="24"/>
        </w:rPr>
        <w:t>religious</w:t>
      </w:r>
      <w:r w:rsidRPr="00100122">
        <w:rPr>
          <w:rFonts w:ascii="Times New Roman" w:hAnsi="Times New Roman"/>
          <w:sz w:val="24"/>
        </w:rPr>
        <w:t xml:space="preserve"> public sphere of the awakenings, however, the </w:t>
      </w:r>
      <w:r w:rsidR="003C3B0B">
        <w:rPr>
          <w:rFonts w:ascii="Times New Roman" w:hAnsi="Times New Roman"/>
          <w:sz w:val="24"/>
        </w:rPr>
        <w:t>networks</w:t>
      </w:r>
      <w:r w:rsidRPr="00100122">
        <w:rPr>
          <w:rFonts w:ascii="Times New Roman" w:hAnsi="Times New Roman"/>
          <w:sz w:val="24"/>
        </w:rPr>
        <w:t xml:space="preserve"> of </w:t>
      </w:r>
      <w:r w:rsidR="003C05E8" w:rsidRPr="00100122">
        <w:rPr>
          <w:rFonts w:ascii="Times New Roman" w:hAnsi="Times New Roman"/>
          <w:sz w:val="24"/>
        </w:rPr>
        <w:t xml:space="preserve">seventeenth- and early eighteenth-century </w:t>
      </w:r>
      <w:r w:rsidRPr="00100122">
        <w:rPr>
          <w:rFonts w:ascii="Times New Roman" w:hAnsi="Times New Roman"/>
          <w:sz w:val="24"/>
        </w:rPr>
        <w:t>dissenters and prophets differe</w:t>
      </w:r>
      <w:r w:rsidR="00A65E88" w:rsidRPr="00100122">
        <w:rPr>
          <w:rFonts w:ascii="Times New Roman" w:hAnsi="Times New Roman"/>
          <w:sz w:val="24"/>
        </w:rPr>
        <w:t xml:space="preserve">d in two important ways. First, the religious sphere considered here was open to women, while participation in the public sphere of the transatlantic </w:t>
      </w:r>
      <w:r w:rsidR="00100122">
        <w:rPr>
          <w:rFonts w:ascii="Times New Roman" w:hAnsi="Times New Roman"/>
          <w:sz w:val="24"/>
        </w:rPr>
        <w:t>revivalists</w:t>
      </w:r>
      <w:r w:rsidR="00A65E88" w:rsidRPr="00100122">
        <w:rPr>
          <w:rFonts w:ascii="Times New Roman" w:hAnsi="Times New Roman"/>
          <w:sz w:val="24"/>
        </w:rPr>
        <w:t xml:space="preserve"> was for the most part restricted to men.</w:t>
      </w:r>
      <w:r w:rsidR="003C05E8" w:rsidRPr="00100122">
        <w:rPr>
          <w:rStyle w:val="FootnoteReference"/>
          <w:rFonts w:ascii="Times New Roman" w:hAnsi="Times New Roman"/>
          <w:sz w:val="24"/>
        </w:rPr>
        <w:footnoteReference w:id="8"/>
      </w:r>
      <w:r w:rsidR="00A65E88" w:rsidRPr="00100122">
        <w:rPr>
          <w:rFonts w:ascii="Times New Roman" w:hAnsi="Times New Roman"/>
          <w:sz w:val="24"/>
        </w:rPr>
        <w:t xml:space="preserve"> Second, the claim to authority of those considered in this dissertation was a spiritual </w:t>
      </w:r>
      <w:r w:rsidR="001B4366" w:rsidRPr="00100122">
        <w:rPr>
          <w:rFonts w:ascii="Times New Roman" w:hAnsi="Times New Roman"/>
          <w:sz w:val="24"/>
        </w:rPr>
        <w:t>or</w:t>
      </w:r>
      <w:r w:rsidR="00A65E88" w:rsidRPr="00100122">
        <w:rPr>
          <w:rFonts w:ascii="Times New Roman" w:hAnsi="Times New Roman"/>
          <w:sz w:val="24"/>
        </w:rPr>
        <w:t xml:space="preserve"> prophetic authority that </w:t>
      </w:r>
      <w:r w:rsidR="003C05E8" w:rsidRPr="00100122">
        <w:rPr>
          <w:rFonts w:ascii="Times New Roman" w:hAnsi="Times New Roman"/>
          <w:sz w:val="24"/>
        </w:rPr>
        <w:t xml:space="preserve">often </w:t>
      </w:r>
      <w:r w:rsidR="00A65E88" w:rsidRPr="00100122">
        <w:rPr>
          <w:rFonts w:ascii="Times New Roman" w:hAnsi="Times New Roman"/>
          <w:sz w:val="24"/>
        </w:rPr>
        <w:t xml:space="preserve">drew </w:t>
      </w:r>
      <w:r w:rsidR="001B4366" w:rsidRPr="00100122">
        <w:rPr>
          <w:rFonts w:ascii="Times New Roman" w:hAnsi="Times New Roman"/>
          <w:sz w:val="24"/>
        </w:rPr>
        <w:t>on</w:t>
      </w:r>
      <w:r w:rsidR="00A65E88" w:rsidRPr="00100122">
        <w:rPr>
          <w:rFonts w:ascii="Times New Roman" w:hAnsi="Times New Roman"/>
          <w:sz w:val="24"/>
        </w:rPr>
        <w:t xml:space="preserve"> </w:t>
      </w:r>
      <w:r w:rsidR="003C05E8" w:rsidRPr="00100122">
        <w:rPr>
          <w:rFonts w:ascii="Times New Roman" w:hAnsi="Times New Roman"/>
          <w:sz w:val="24"/>
        </w:rPr>
        <w:t xml:space="preserve">a </w:t>
      </w:r>
      <w:r w:rsidR="00A65E88" w:rsidRPr="00100122">
        <w:rPr>
          <w:rFonts w:ascii="Times New Roman" w:hAnsi="Times New Roman"/>
          <w:sz w:val="24"/>
        </w:rPr>
        <w:t xml:space="preserve">language of election. By the time of the transatlantic awakenings, participants in the public sphere of religion </w:t>
      </w:r>
      <w:r w:rsidR="001B4366" w:rsidRPr="00100122">
        <w:rPr>
          <w:rFonts w:ascii="Times New Roman" w:hAnsi="Times New Roman"/>
          <w:sz w:val="24"/>
        </w:rPr>
        <w:t>were appealing</w:t>
      </w:r>
      <w:r w:rsidR="00A65E88" w:rsidRPr="00100122">
        <w:rPr>
          <w:rFonts w:ascii="Times New Roman" w:hAnsi="Times New Roman"/>
          <w:sz w:val="24"/>
        </w:rPr>
        <w:t xml:space="preserve"> to reason</w:t>
      </w:r>
      <w:r w:rsidR="001B4366" w:rsidRPr="00100122">
        <w:rPr>
          <w:rFonts w:ascii="Times New Roman" w:hAnsi="Times New Roman"/>
          <w:sz w:val="24"/>
        </w:rPr>
        <w:t>, the same currency that drove the Enlightenment public sphere</w:t>
      </w:r>
      <w:r w:rsidR="00A65E88" w:rsidRPr="00100122">
        <w:rPr>
          <w:rFonts w:ascii="Times New Roman" w:hAnsi="Times New Roman"/>
          <w:sz w:val="24"/>
        </w:rPr>
        <w:t>.</w:t>
      </w:r>
      <w:r w:rsidR="00A65E88" w:rsidRPr="00100122">
        <w:rPr>
          <w:rStyle w:val="FootnoteReference"/>
          <w:rFonts w:ascii="Times New Roman" w:hAnsi="Times New Roman"/>
          <w:sz w:val="24"/>
        </w:rPr>
        <w:footnoteReference w:id="9"/>
      </w:r>
      <w:r w:rsidR="007E18C3" w:rsidRPr="00100122">
        <w:rPr>
          <w:rFonts w:ascii="Times New Roman" w:hAnsi="Times New Roman"/>
          <w:sz w:val="24"/>
        </w:rPr>
        <w:t xml:space="preserve"> </w:t>
      </w:r>
      <w:r w:rsidR="003C05E8" w:rsidRPr="00100122">
        <w:rPr>
          <w:rFonts w:ascii="Times New Roman" w:hAnsi="Times New Roman"/>
          <w:sz w:val="24"/>
        </w:rPr>
        <w:t>The purpose of this dissertation has been to explore</w:t>
      </w:r>
      <w:r w:rsidR="00A65E88" w:rsidRPr="00100122">
        <w:rPr>
          <w:rFonts w:ascii="Times New Roman" w:hAnsi="Times New Roman"/>
          <w:sz w:val="24"/>
        </w:rPr>
        <w:t xml:space="preserve"> how these two factors—</w:t>
      </w:r>
      <w:r w:rsidR="00D21597" w:rsidRPr="00100122">
        <w:rPr>
          <w:rFonts w:ascii="Times New Roman" w:hAnsi="Times New Roman"/>
          <w:sz w:val="24"/>
        </w:rPr>
        <w:t xml:space="preserve">election rhetoric and </w:t>
      </w:r>
      <w:r w:rsidR="00A65E88" w:rsidRPr="00100122">
        <w:rPr>
          <w:rFonts w:ascii="Times New Roman" w:hAnsi="Times New Roman"/>
          <w:sz w:val="24"/>
        </w:rPr>
        <w:t>female participati</w:t>
      </w:r>
      <w:r w:rsidR="00D21597" w:rsidRPr="00100122">
        <w:rPr>
          <w:rFonts w:ascii="Times New Roman" w:hAnsi="Times New Roman"/>
          <w:sz w:val="24"/>
        </w:rPr>
        <w:t>on in public religion</w:t>
      </w:r>
      <w:r w:rsidR="00A65E88" w:rsidRPr="00100122">
        <w:rPr>
          <w:rFonts w:ascii="Times New Roman" w:hAnsi="Times New Roman"/>
          <w:sz w:val="24"/>
        </w:rPr>
        <w:t xml:space="preserve">—came together in the late seventeenth </w:t>
      </w:r>
      <w:r w:rsidR="007E18C3" w:rsidRPr="00100122">
        <w:rPr>
          <w:rFonts w:ascii="Times New Roman" w:hAnsi="Times New Roman"/>
          <w:sz w:val="24"/>
        </w:rPr>
        <w:t>and early eighteenth centuries.</w:t>
      </w:r>
    </w:p>
    <w:p w:rsidR="00855617" w:rsidRPr="00100122" w:rsidRDefault="007A0C4A" w:rsidP="007E18C3">
      <w:pPr>
        <w:spacing w:line="480" w:lineRule="auto"/>
        <w:ind w:firstLine="720"/>
        <w:rPr>
          <w:rFonts w:ascii="Times New Roman" w:hAnsi="Times New Roman"/>
          <w:sz w:val="24"/>
        </w:rPr>
      </w:pPr>
      <w:r w:rsidRPr="00100122">
        <w:rPr>
          <w:rFonts w:ascii="Times New Roman" w:hAnsi="Times New Roman"/>
          <w:sz w:val="24"/>
        </w:rPr>
        <w:t>The project</w:t>
      </w:r>
      <w:r w:rsidR="009B6792" w:rsidRPr="00100122">
        <w:rPr>
          <w:rFonts w:ascii="Times New Roman" w:hAnsi="Times New Roman"/>
          <w:sz w:val="24"/>
        </w:rPr>
        <w:t xml:space="preserve"> has highlighted the importance of election to dissenters and, more specifically, to female prophets of the late seventeenth and early eighteenth centuries. F</w:t>
      </w:r>
      <w:r w:rsidR="00855617" w:rsidRPr="00100122">
        <w:rPr>
          <w:rFonts w:ascii="Times New Roman" w:hAnsi="Times New Roman"/>
          <w:sz w:val="24"/>
        </w:rPr>
        <w:t xml:space="preserve">emale prophets </w:t>
      </w:r>
      <w:r w:rsidRPr="00100122">
        <w:rPr>
          <w:rFonts w:ascii="Times New Roman" w:hAnsi="Times New Roman"/>
          <w:sz w:val="24"/>
        </w:rPr>
        <w:t xml:space="preserve">throughout the British Atlantic </w:t>
      </w:r>
      <w:r w:rsidR="00472D7D">
        <w:rPr>
          <w:rFonts w:ascii="Times New Roman" w:hAnsi="Times New Roman"/>
          <w:sz w:val="24"/>
        </w:rPr>
        <w:t>devoted</w:t>
      </w:r>
      <w:r w:rsidR="00855617" w:rsidRPr="00100122">
        <w:rPr>
          <w:rFonts w:ascii="Times New Roman" w:hAnsi="Times New Roman"/>
          <w:sz w:val="24"/>
        </w:rPr>
        <w:t xml:space="preserve"> considerable effort to neg</w:t>
      </w:r>
      <w:r w:rsidRPr="00100122">
        <w:rPr>
          <w:rFonts w:ascii="Times New Roman" w:hAnsi="Times New Roman"/>
          <w:sz w:val="24"/>
        </w:rPr>
        <w:t>otiating and defining election.</w:t>
      </w:r>
      <w:r w:rsidR="007E18C3" w:rsidRPr="00100122">
        <w:rPr>
          <w:rFonts w:ascii="Times New Roman" w:hAnsi="Times New Roman"/>
          <w:sz w:val="24"/>
        </w:rPr>
        <w:t xml:space="preserve"> </w:t>
      </w:r>
      <w:r w:rsidR="00855617" w:rsidRPr="00100122">
        <w:rPr>
          <w:rFonts w:ascii="Times New Roman" w:hAnsi="Times New Roman"/>
          <w:sz w:val="24"/>
        </w:rPr>
        <w:t xml:space="preserve">Some focused on election in a Calvinist doctrinal sense. We see this, for example, in the </w:t>
      </w:r>
      <w:r w:rsidR="00FC4C8C" w:rsidRPr="00100122">
        <w:rPr>
          <w:rFonts w:ascii="Times New Roman" w:hAnsi="Times New Roman"/>
          <w:sz w:val="24"/>
        </w:rPr>
        <w:t>example of the Labadists, who engaged in debates over doctrinal election with Antoinette Bourignon</w:t>
      </w:r>
      <w:r w:rsidR="008D4E5E" w:rsidRPr="00100122">
        <w:rPr>
          <w:rFonts w:ascii="Times New Roman" w:hAnsi="Times New Roman"/>
          <w:sz w:val="24"/>
        </w:rPr>
        <w:t xml:space="preserve">. </w:t>
      </w:r>
      <w:r w:rsidR="00CD2961" w:rsidRPr="00100122">
        <w:rPr>
          <w:rFonts w:ascii="Times New Roman" w:hAnsi="Times New Roman"/>
          <w:sz w:val="24"/>
        </w:rPr>
        <w:t>Calvinism was a defining point around which</w:t>
      </w:r>
      <w:r w:rsidR="00136554" w:rsidRPr="00100122">
        <w:rPr>
          <w:rFonts w:ascii="Times New Roman" w:hAnsi="Times New Roman"/>
          <w:sz w:val="24"/>
        </w:rPr>
        <w:t xml:space="preserve"> many</w:t>
      </w:r>
      <w:r w:rsidR="00CD2961" w:rsidRPr="00100122">
        <w:rPr>
          <w:rFonts w:ascii="Times New Roman" w:hAnsi="Times New Roman"/>
          <w:sz w:val="24"/>
        </w:rPr>
        <w:t xml:space="preserve"> </w:t>
      </w:r>
      <w:r w:rsidR="005D21C6" w:rsidRPr="00100122">
        <w:rPr>
          <w:rFonts w:ascii="Times New Roman" w:hAnsi="Times New Roman"/>
          <w:sz w:val="24"/>
        </w:rPr>
        <w:t xml:space="preserve">dissenting </w:t>
      </w:r>
      <w:r w:rsidR="00CD2961" w:rsidRPr="00100122">
        <w:rPr>
          <w:rFonts w:ascii="Times New Roman" w:hAnsi="Times New Roman"/>
          <w:sz w:val="24"/>
        </w:rPr>
        <w:t xml:space="preserve">groups </w:t>
      </w:r>
      <w:r w:rsidR="00A0599C" w:rsidRPr="00100122">
        <w:rPr>
          <w:rFonts w:ascii="Times New Roman" w:hAnsi="Times New Roman"/>
          <w:sz w:val="24"/>
        </w:rPr>
        <w:t>established</w:t>
      </w:r>
      <w:r w:rsidR="00CD2961" w:rsidRPr="00100122">
        <w:rPr>
          <w:rFonts w:ascii="Times New Roman" w:hAnsi="Times New Roman"/>
          <w:sz w:val="24"/>
        </w:rPr>
        <w:t xml:space="preserve"> their </w:t>
      </w:r>
      <w:r w:rsidR="00136554" w:rsidRPr="00100122">
        <w:rPr>
          <w:rFonts w:ascii="Times New Roman" w:hAnsi="Times New Roman"/>
          <w:sz w:val="24"/>
        </w:rPr>
        <w:t>doctrinal positions</w:t>
      </w:r>
      <w:r w:rsidR="00DB7F06" w:rsidRPr="00100122">
        <w:rPr>
          <w:rFonts w:ascii="Times New Roman" w:hAnsi="Times New Roman"/>
          <w:sz w:val="24"/>
        </w:rPr>
        <w:t xml:space="preserve"> on salvation</w:t>
      </w:r>
      <w:r w:rsidR="00E11B35" w:rsidRPr="00100122">
        <w:rPr>
          <w:rFonts w:ascii="Times New Roman" w:hAnsi="Times New Roman"/>
          <w:sz w:val="24"/>
        </w:rPr>
        <w:t>:</w:t>
      </w:r>
      <w:r w:rsidR="005D21C6" w:rsidRPr="00100122">
        <w:rPr>
          <w:rFonts w:ascii="Times New Roman" w:hAnsi="Times New Roman"/>
          <w:sz w:val="24"/>
        </w:rPr>
        <w:t xml:space="preserve"> they identified either as Calvinist or anti-Calvinist</w:t>
      </w:r>
      <w:r w:rsidR="004F24E2" w:rsidRPr="00100122">
        <w:rPr>
          <w:rFonts w:ascii="Times New Roman" w:hAnsi="Times New Roman"/>
          <w:sz w:val="24"/>
        </w:rPr>
        <w:t>.</w:t>
      </w:r>
      <w:r w:rsidR="00474AF3" w:rsidRPr="00100122">
        <w:rPr>
          <w:rFonts w:ascii="Times New Roman" w:hAnsi="Times New Roman"/>
          <w:sz w:val="24"/>
        </w:rPr>
        <w:t xml:space="preserve"> </w:t>
      </w:r>
      <w:r w:rsidR="00855617" w:rsidRPr="00100122">
        <w:rPr>
          <w:rFonts w:ascii="Times New Roman" w:hAnsi="Times New Roman"/>
          <w:sz w:val="24"/>
        </w:rPr>
        <w:t xml:space="preserve">Even among </w:t>
      </w:r>
      <w:r w:rsidR="005D21C6" w:rsidRPr="00100122">
        <w:rPr>
          <w:rFonts w:ascii="Times New Roman" w:hAnsi="Times New Roman"/>
          <w:sz w:val="24"/>
        </w:rPr>
        <w:t xml:space="preserve">some </w:t>
      </w:r>
      <w:r w:rsidR="00D51329" w:rsidRPr="00100122">
        <w:rPr>
          <w:rFonts w:ascii="Times New Roman" w:hAnsi="Times New Roman"/>
          <w:sz w:val="24"/>
        </w:rPr>
        <w:t>groups who did not espouse the Calvinist doctrine of election, the working out of questions of doctrinal grace and election remained central. The Ph</w:t>
      </w:r>
      <w:r w:rsidR="00A0599C" w:rsidRPr="00100122">
        <w:rPr>
          <w:rFonts w:ascii="Times New Roman" w:hAnsi="Times New Roman"/>
          <w:sz w:val="24"/>
        </w:rPr>
        <w:t xml:space="preserve">iladelphians, for example, </w:t>
      </w:r>
      <w:r w:rsidR="00C277B0" w:rsidRPr="00100122">
        <w:rPr>
          <w:rFonts w:ascii="Times New Roman" w:hAnsi="Times New Roman"/>
          <w:sz w:val="24"/>
        </w:rPr>
        <w:t>came to espouse</w:t>
      </w:r>
      <w:r w:rsidR="00A0599C" w:rsidRPr="00100122">
        <w:rPr>
          <w:rFonts w:ascii="Times New Roman" w:hAnsi="Times New Roman"/>
          <w:sz w:val="24"/>
        </w:rPr>
        <w:t xml:space="preserve"> </w:t>
      </w:r>
      <w:r w:rsidR="00DB7F06" w:rsidRPr="00100122">
        <w:rPr>
          <w:rFonts w:ascii="Times New Roman" w:hAnsi="Times New Roman"/>
          <w:i/>
          <w:sz w:val="24"/>
        </w:rPr>
        <w:t>apoca</w:t>
      </w:r>
      <w:r w:rsidR="00A0599C" w:rsidRPr="00100122">
        <w:rPr>
          <w:rFonts w:ascii="Times New Roman" w:hAnsi="Times New Roman"/>
          <w:i/>
          <w:sz w:val="24"/>
        </w:rPr>
        <w:t>t</w:t>
      </w:r>
      <w:r w:rsidR="002E6CEC" w:rsidRPr="00100122">
        <w:rPr>
          <w:rFonts w:ascii="Times New Roman" w:hAnsi="Times New Roman"/>
          <w:i/>
          <w:sz w:val="24"/>
        </w:rPr>
        <w:t>ast</w:t>
      </w:r>
      <w:r w:rsidR="00A0599C" w:rsidRPr="00100122">
        <w:rPr>
          <w:rFonts w:ascii="Times New Roman" w:hAnsi="Times New Roman"/>
          <w:i/>
          <w:sz w:val="24"/>
        </w:rPr>
        <w:t xml:space="preserve">asis, </w:t>
      </w:r>
      <w:r w:rsidR="00474AF3" w:rsidRPr="00100122">
        <w:rPr>
          <w:rFonts w:ascii="Times New Roman" w:hAnsi="Times New Roman"/>
          <w:sz w:val="24"/>
        </w:rPr>
        <w:t>the belief in an eventual univ</w:t>
      </w:r>
      <w:r w:rsidR="00C277B0" w:rsidRPr="00100122">
        <w:rPr>
          <w:rFonts w:ascii="Times New Roman" w:hAnsi="Times New Roman"/>
          <w:sz w:val="24"/>
        </w:rPr>
        <w:t xml:space="preserve">ersal restoration of all </w:t>
      </w:r>
      <w:r w:rsidR="00660D54" w:rsidRPr="00100122">
        <w:rPr>
          <w:rFonts w:ascii="Times New Roman" w:hAnsi="Times New Roman"/>
          <w:sz w:val="24"/>
        </w:rPr>
        <w:t>souls</w:t>
      </w:r>
      <w:r w:rsidR="00C277B0" w:rsidRPr="00100122">
        <w:rPr>
          <w:rFonts w:ascii="Times New Roman" w:hAnsi="Times New Roman"/>
          <w:sz w:val="24"/>
        </w:rPr>
        <w:t xml:space="preserve">. But this belief did not preclude them from embracing </w:t>
      </w:r>
      <w:r w:rsidR="00DB7F06" w:rsidRPr="00100122">
        <w:rPr>
          <w:rFonts w:ascii="Times New Roman" w:hAnsi="Times New Roman"/>
          <w:sz w:val="24"/>
        </w:rPr>
        <w:t xml:space="preserve">other ideas of </w:t>
      </w:r>
      <w:r w:rsidR="00C277B0" w:rsidRPr="00100122">
        <w:rPr>
          <w:rFonts w:ascii="Times New Roman" w:hAnsi="Times New Roman"/>
          <w:sz w:val="24"/>
        </w:rPr>
        <w:t xml:space="preserve">election </w:t>
      </w:r>
      <w:r w:rsidR="00DB7F06" w:rsidRPr="00100122">
        <w:rPr>
          <w:rFonts w:ascii="Times New Roman" w:hAnsi="Times New Roman"/>
          <w:sz w:val="24"/>
        </w:rPr>
        <w:t xml:space="preserve">and limited grace </w:t>
      </w:r>
      <w:r w:rsidR="00C277B0" w:rsidRPr="00100122">
        <w:rPr>
          <w:rFonts w:ascii="Times New Roman" w:hAnsi="Times New Roman"/>
          <w:sz w:val="24"/>
        </w:rPr>
        <w:t>in the present—</w:t>
      </w:r>
      <w:r w:rsidR="00DB7F06" w:rsidRPr="00100122">
        <w:rPr>
          <w:rFonts w:ascii="Times New Roman" w:hAnsi="Times New Roman"/>
          <w:sz w:val="24"/>
        </w:rPr>
        <w:t xml:space="preserve">such as </w:t>
      </w:r>
      <w:r w:rsidR="007E18C3" w:rsidRPr="00100122">
        <w:rPr>
          <w:rFonts w:ascii="Times New Roman" w:hAnsi="Times New Roman"/>
          <w:sz w:val="24"/>
        </w:rPr>
        <w:t>a</w:t>
      </w:r>
      <w:r w:rsidR="00DB7F06" w:rsidRPr="00100122">
        <w:rPr>
          <w:rFonts w:ascii="Times New Roman" w:hAnsi="Times New Roman"/>
          <w:sz w:val="24"/>
        </w:rPr>
        <w:t xml:space="preserve"> belief that they were a chosen Society</w:t>
      </w:r>
      <w:r w:rsidR="00660D54" w:rsidRPr="00100122">
        <w:rPr>
          <w:rFonts w:ascii="Times New Roman" w:hAnsi="Times New Roman"/>
          <w:sz w:val="24"/>
        </w:rPr>
        <w:t>,</w:t>
      </w:r>
      <w:r w:rsidR="00DB7F06" w:rsidRPr="00100122">
        <w:rPr>
          <w:rFonts w:ascii="Times New Roman" w:hAnsi="Times New Roman"/>
          <w:sz w:val="24"/>
        </w:rPr>
        <w:t xml:space="preserve"> or </w:t>
      </w:r>
      <w:r w:rsidR="00E11B35" w:rsidRPr="00100122">
        <w:rPr>
          <w:rFonts w:ascii="Times New Roman" w:hAnsi="Times New Roman"/>
          <w:sz w:val="24"/>
        </w:rPr>
        <w:t>even a belief in</w:t>
      </w:r>
      <w:r w:rsidR="00C277B0" w:rsidRPr="00100122">
        <w:rPr>
          <w:rFonts w:ascii="Times New Roman" w:hAnsi="Times New Roman"/>
          <w:sz w:val="24"/>
        </w:rPr>
        <w:t xml:space="preserve"> the 144,000</w:t>
      </w:r>
      <w:r w:rsidR="00DB7F06" w:rsidRPr="00100122">
        <w:rPr>
          <w:rFonts w:ascii="Times New Roman" w:hAnsi="Times New Roman"/>
          <w:sz w:val="24"/>
        </w:rPr>
        <w:t xml:space="preserve"> elect</w:t>
      </w:r>
      <w:r w:rsidR="00C277B0" w:rsidRPr="00100122">
        <w:rPr>
          <w:rFonts w:ascii="Times New Roman" w:hAnsi="Times New Roman"/>
          <w:sz w:val="24"/>
        </w:rPr>
        <w:t>.</w:t>
      </w:r>
      <w:r w:rsidR="001238EA" w:rsidRPr="00100122">
        <w:rPr>
          <w:rStyle w:val="FootnoteReference"/>
          <w:rFonts w:ascii="Times New Roman" w:hAnsi="Times New Roman"/>
          <w:sz w:val="24"/>
        </w:rPr>
        <w:footnoteReference w:id="10"/>
      </w:r>
      <w:r w:rsidR="00C277B0" w:rsidRPr="00100122">
        <w:rPr>
          <w:rFonts w:ascii="Times New Roman" w:hAnsi="Times New Roman"/>
          <w:sz w:val="24"/>
        </w:rPr>
        <w:t xml:space="preserve"> What we see with the Philadelphians, as well as with the other groups in this study, is the idea of election as a highly adaptable concept</w:t>
      </w:r>
      <w:r w:rsidR="00C353D6" w:rsidRPr="00100122">
        <w:rPr>
          <w:rFonts w:ascii="Times New Roman" w:hAnsi="Times New Roman"/>
          <w:sz w:val="24"/>
        </w:rPr>
        <w:t>, both doctrinally and metaphorically</w:t>
      </w:r>
      <w:r w:rsidR="00C277B0" w:rsidRPr="00100122">
        <w:rPr>
          <w:rFonts w:ascii="Times New Roman" w:hAnsi="Times New Roman"/>
          <w:sz w:val="24"/>
        </w:rPr>
        <w:t>.</w:t>
      </w:r>
    </w:p>
    <w:p w:rsidR="00D2136A" w:rsidRPr="00100122" w:rsidRDefault="00C277B0" w:rsidP="00C353D6">
      <w:pPr>
        <w:spacing w:line="480" w:lineRule="auto"/>
        <w:ind w:firstLine="720"/>
        <w:rPr>
          <w:rFonts w:ascii="Times New Roman" w:hAnsi="Times New Roman"/>
          <w:sz w:val="24"/>
        </w:rPr>
      </w:pPr>
      <w:r w:rsidRPr="00100122">
        <w:rPr>
          <w:rFonts w:ascii="Times New Roman" w:hAnsi="Times New Roman"/>
          <w:sz w:val="24"/>
        </w:rPr>
        <w:t xml:space="preserve">Indeed, many female prophets removed election </w:t>
      </w:r>
      <w:r w:rsidR="00C353D6" w:rsidRPr="00100122">
        <w:rPr>
          <w:rFonts w:ascii="Times New Roman" w:hAnsi="Times New Roman"/>
          <w:sz w:val="24"/>
        </w:rPr>
        <w:t xml:space="preserve">entirely </w:t>
      </w:r>
      <w:r w:rsidRPr="00100122">
        <w:rPr>
          <w:rFonts w:ascii="Times New Roman" w:hAnsi="Times New Roman"/>
          <w:sz w:val="24"/>
        </w:rPr>
        <w:t>from its Calvinist doctrinal context.</w:t>
      </w:r>
      <w:r w:rsidR="00527DB9" w:rsidRPr="00100122">
        <w:rPr>
          <w:rFonts w:ascii="Times New Roman" w:hAnsi="Times New Roman"/>
          <w:sz w:val="24"/>
        </w:rPr>
        <w:t xml:space="preserve"> For them, election had the meaning of “chosenness” but not in a strictly salvific sense. For example, dissenters ranging from Mary </w:t>
      </w:r>
      <w:r w:rsidR="001238EA" w:rsidRPr="00100122">
        <w:rPr>
          <w:rFonts w:ascii="Times New Roman" w:hAnsi="Times New Roman"/>
          <w:sz w:val="24"/>
        </w:rPr>
        <w:t xml:space="preserve">Cary </w:t>
      </w:r>
      <w:r w:rsidR="00527DB9" w:rsidRPr="00100122">
        <w:rPr>
          <w:rFonts w:ascii="Times New Roman" w:hAnsi="Times New Roman"/>
          <w:sz w:val="24"/>
        </w:rPr>
        <w:t>to the Quakers and those associated with Johannes Kelpius believed in various iterations of the belief that God had chosen a “remnant” of true believers</w:t>
      </w:r>
      <w:r w:rsidR="00C24507" w:rsidRPr="00100122">
        <w:rPr>
          <w:rFonts w:ascii="Times New Roman" w:hAnsi="Times New Roman"/>
          <w:sz w:val="24"/>
        </w:rPr>
        <w:t>.</w:t>
      </w:r>
      <w:r w:rsidR="001238EA" w:rsidRPr="00100122">
        <w:rPr>
          <w:rFonts w:ascii="Times New Roman" w:hAnsi="Times New Roman"/>
          <w:sz w:val="24"/>
        </w:rPr>
        <w:t xml:space="preserve"> The Philadelphians saw their society—wherever </w:t>
      </w:r>
      <w:r w:rsidR="00C353D6" w:rsidRPr="00100122">
        <w:rPr>
          <w:rFonts w:ascii="Times New Roman" w:hAnsi="Times New Roman"/>
          <w:sz w:val="24"/>
        </w:rPr>
        <w:t>members</w:t>
      </w:r>
      <w:r w:rsidR="001238EA" w:rsidRPr="00100122">
        <w:rPr>
          <w:rFonts w:ascii="Times New Roman" w:hAnsi="Times New Roman"/>
          <w:sz w:val="24"/>
        </w:rPr>
        <w:t xml:space="preserve"> existed throughout the world—as </w:t>
      </w:r>
      <w:r w:rsidR="00563A0A" w:rsidRPr="00100122">
        <w:rPr>
          <w:rFonts w:ascii="Times New Roman" w:hAnsi="Times New Roman"/>
          <w:sz w:val="24"/>
        </w:rPr>
        <w:t>“called and elected of God to be of the first fruits” of the new Church</w:t>
      </w:r>
      <w:r w:rsidR="001238EA" w:rsidRPr="00100122">
        <w:rPr>
          <w:rFonts w:ascii="Times New Roman" w:hAnsi="Times New Roman"/>
          <w:sz w:val="24"/>
        </w:rPr>
        <w:t>.</w:t>
      </w:r>
      <w:r w:rsidR="00563A0A" w:rsidRPr="00100122">
        <w:rPr>
          <w:rStyle w:val="FootnoteReference"/>
          <w:rFonts w:ascii="Times New Roman" w:hAnsi="Times New Roman"/>
          <w:sz w:val="24"/>
        </w:rPr>
        <w:footnoteReference w:id="11"/>
      </w:r>
      <w:r w:rsidR="001238EA" w:rsidRPr="00100122">
        <w:rPr>
          <w:rFonts w:ascii="Times New Roman" w:hAnsi="Times New Roman"/>
          <w:sz w:val="24"/>
        </w:rPr>
        <w:t xml:space="preserve"> </w:t>
      </w:r>
      <w:r w:rsidR="008D2F14" w:rsidRPr="00100122">
        <w:rPr>
          <w:rFonts w:ascii="Times New Roman" w:hAnsi="Times New Roman"/>
          <w:sz w:val="24"/>
        </w:rPr>
        <w:t xml:space="preserve">Kelpius believed the group he led </w:t>
      </w:r>
      <w:r w:rsidR="00C353D6" w:rsidRPr="00100122">
        <w:rPr>
          <w:rFonts w:ascii="Times New Roman" w:hAnsi="Times New Roman"/>
          <w:sz w:val="24"/>
        </w:rPr>
        <w:t xml:space="preserve">to the wilderness of Pennsylvania </w:t>
      </w:r>
      <w:r w:rsidR="008D2F14" w:rsidRPr="00100122">
        <w:rPr>
          <w:rFonts w:ascii="Times New Roman" w:hAnsi="Times New Roman"/>
          <w:sz w:val="24"/>
        </w:rPr>
        <w:t xml:space="preserve">would await the Second </w:t>
      </w:r>
      <w:r w:rsidR="00C353D6" w:rsidRPr="00100122">
        <w:rPr>
          <w:rFonts w:ascii="Times New Roman" w:hAnsi="Times New Roman"/>
          <w:sz w:val="24"/>
        </w:rPr>
        <w:t>Coming as a remnant of the elect who would usher in the new age</w:t>
      </w:r>
      <w:r w:rsidR="008D2F14" w:rsidRPr="00100122">
        <w:rPr>
          <w:rFonts w:ascii="Times New Roman" w:hAnsi="Times New Roman"/>
          <w:sz w:val="24"/>
        </w:rPr>
        <w:t>.</w:t>
      </w:r>
      <w:r w:rsidR="00C353D6" w:rsidRPr="00100122">
        <w:rPr>
          <w:rFonts w:ascii="Times New Roman" w:hAnsi="Times New Roman"/>
          <w:sz w:val="24"/>
        </w:rPr>
        <w:t xml:space="preserve"> T</w:t>
      </w:r>
      <w:r w:rsidR="008D2F14" w:rsidRPr="00100122">
        <w:rPr>
          <w:rFonts w:ascii="Times New Roman" w:hAnsi="Times New Roman"/>
          <w:sz w:val="24"/>
        </w:rPr>
        <w:t>he early Quakers</w:t>
      </w:r>
      <w:r w:rsidR="00C353D6" w:rsidRPr="00100122">
        <w:rPr>
          <w:rFonts w:ascii="Times New Roman" w:hAnsi="Times New Roman"/>
          <w:sz w:val="24"/>
        </w:rPr>
        <w:t xml:space="preserve"> compared themselves to the biblical remnant of Israel</w:t>
      </w:r>
      <w:r w:rsidR="00F17959" w:rsidRPr="00100122">
        <w:rPr>
          <w:rFonts w:ascii="Times New Roman" w:hAnsi="Times New Roman"/>
          <w:sz w:val="24"/>
        </w:rPr>
        <w:t>.</w:t>
      </w:r>
    </w:p>
    <w:p w:rsidR="002F1D06" w:rsidRPr="00100122" w:rsidRDefault="003F236B" w:rsidP="00FC02C7">
      <w:pPr>
        <w:spacing w:line="480" w:lineRule="auto"/>
        <w:ind w:firstLine="720"/>
        <w:rPr>
          <w:rFonts w:ascii="Times New Roman" w:hAnsi="Times New Roman"/>
          <w:sz w:val="24"/>
        </w:rPr>
      </w:pPr>
      <w:r w:rsidRPr="00100122">
        <w:rPr>
          <w:rFonts w:ascii="Times New Roman" w:hAnsi="Times New Roman"/>
          <w:sz w:val="24"/>
        </w:rPr>
        <w:t xml:space="preserve">The relationship between the nation and election also </w:t>
      </w:r>
      <w:r w:rsidR="00FC02C7" w:rsidRPr="00100122">
        <w:rPr>
          <w:rFonts w:ascii="Times New Roman" w:hAnsi="Times New Roman"/>
          <w:sz w:val="24"/>
        </w:rPr>
        <w:t>stood out as</w:t>
      </w:r>
      <w:r w:rsidRPr="00100122">
        <w:rPr>
          <w:rFonts w:ascii="Times New Roman" w:hAnsi="Times New Roman"/>
          <w:sz w:val="24"/>
        </w:rPr>
        <w:t xml:space="preserve"> important to female pro</w:t>
      </w:r>
      <w:r w:rsidR="00FC02C7" w:rsidRPr="00100122">
        <w:rPr>
          <w:rFonts w:ascii="Times New Roman" w:hAnsi="Times New Roman"/>
          <w:sz w:val="24"/>
        </w:rPr>
        <w:t>phets</w:t>
      </w:r>
      <w:r w:rsidRPr="00100122">
        <w:rPr>
          <w:rFonts w:ascii="Times New Roman" w:hAnsi="Times New Roman"/>
          <w:sz w:val="24"/>
        </w:rPr>
        <w:t xml:space="preserve">. During the mid seventeenth-century, a tension </w:t>
      </w:r>
      <w:r w:rsidR="00E11B35" w:rsidRPr="00100122">
        <w:rPr>
          <w:rFonts w:ascii="Times New Roman" w:hAnsi="Times New Roman"/>
          <w:sz w:val="24"/>
        </w:rPr>
        <w:t>developed</w:t>
      </w:r>
      <w:r w:rsidRPr="00100122">
        <w:rPr>
          <w:rFonts w:ascii="Times New Roman" w:hAnsi="Times New Roman"/>
          <w:sz w:val="24"/>
        </w:rPr>
        <w:t xml:space="preserve"> between the construction of England as an elect nation and the construction of select groups—such as the Quakers—as </w:t>
      </w:r>
      <w:r w:rsidR="00660D54" w:rsidRPr="00100122">
        <w:rPr>
          <w:rFonts w:ascii="Times New Roman" w:hAnsi="Times New Roman"/>
          <w:sz w:val="24"/>
        </w:rPr>
        <w:t>an elect remnant</w:t>
      </w:r>
      <w:r w:rsidRPr="00100122">
        <w:rPr>
          <w:rFonts w:ascii="Times New Roman" w:hAnsi="Times New Roman"/>
          <w:sz w:val="24"/>
        </w:rPr>
        <w:t xml:space="preserve"> among a corrupt nation.</w:t>
      </w:r>
      <w:r w:rsidR="008D2F14" w:rsidRPr="00100122">
        <w:rPr>
          <w:rFonts w:ascii="Times New Roman" w:hAnsi="Times New Roman"/>
          <w:sz w:val="24"/>
        </w:rPr>
        <w:t xml:space="preserve"> By the late seventeenth century, </w:t>
      </w:r>
      <w:r w:rsidR="00660D54" w:rsidRPr="00100122">
        <w:rPr>
          <w:rFonts w:ascii="Times New Roman" w:hAnsi="Times New Roman"/>
          <w:sz w:val="24"/>
        </w:rPr>
        <w:t>especially after</w:t>
      </w:r>
      <w:r w:rsidR="008D2F14" w:rsidRPr="00100122">
        <w:rPr>
          <w:rFonts w:ascii="Times New Roman" w:hAnsi="Times New Roman"/>
          <w:sz w:val="24"/>
        </w:rPr>
        <w:t xml:space="preserve"> William III’</w:t>
      </w:r>
      <w:r w:rsidR="00C353D6" w:rsidRPr="00100122">
        <w:rPr>
          <w:rFonts w:ascii="Times New Roman" w:hAnsi="Times New Roman"/>
          <w:sz w:val="24"/>
        </w:rPr>
        <w:t>s</w:t>
      </w:r>
      <w:r w:rsidR="008D2F14" w:rsidRPr="00100122">
        <w:rPr>
          <w:rFonts w:ascii="Times New Roman" w:hAnsi="Times New Roman"/>
          <w:sz w:val="24"/>
        </w:rPr>
        <w:t xml:space="preserve"> arrival, new challenges awaited prophets who sought to define the relationship between election and </w:t>
      </w:r>
      <w:r w:rsidR="00582D53" w:rsidRPr="00100122">
        <w:rPr>
          <w:rFonts w:ascii="Times New Roman" w:hAnsi="Times New Roman"/>
          <w:sz w:val="24"/>
        </w:rPr>
        <w:t xml:space="preserve">the </w:t>
      </w:r>
      <w:r w:rsidR="008D2F14" w:rsidRPr="00100122">
        <w:rPr>
          <w:rFonts w:ascii="Times New Roman" w:hAnsi="Times New Roman"/>
          <w:sz w:val="24"/>
        </w:rPr>
        <w:t>nation. The French Prophets</w:t>
      </w:r>
      <w:r w:rsidRPr="00100122">
        <w:rPr>
          <w:rFonts w:ascii="Times New Roman" w:hAnsi="Times New Roman"/>
          <w:sz w:val="24"/>
        </w:rPr>
        <w:t xml:space="preserve"> and their </w:t>
      </w:r>
      <w:r w:rsidR="00BC0C2A" w:rsidRPr="00100122">
        <w:rPr>
          <w:rFonts w:ascii="Times New Roman" w:hAnsi="Times New Roman"/>
          <w:sz w:val="24"/>
        </w:rPr>
        <w:t xml:space="preserve">detractors, for example, </w:t>
      </w:r>
      <w:r w:rsidR="00E11B35" w:rsidRPr="00100122">
        <w:rPr>
          <w:rFonts w:ascii="Times New Roman" w:hAnsi="Times New Roman"/>
          <w:sz w:val="24"/>
        </w:rPr>
        <w:t xml:space="preserve">both </w:t>
      </w:r>
      <w:r w:rsidR="00BC0C2A" w:rsidRPr="00100122">
        <w:rPr>
          <w:rFonts w:ascii="Times New Roman" w:hAnsi="Times New Roman"/>
          <w:sz w:val="24"/>
        </w:rPr>
        <w:t>f</w:t>
      </w:r>
      <w:r w:rsidR="008D2F14" w:rsidRPr="00100122">
        <w:rPr>
          <w:rFonts w:ascii="Times New Roman" w:hAnsi="Times New Roman"/>
          <w:sz w:val="24"/>
        </w:rPr>
        <w:t>aced the same paradox: how did one reconcile England’s national Protestant identity with the pull of cosmopolitan Protestantism</w:t>
      </w:r>
      <w:r w:rsidRPr="00100122">
        <w:rPr>
          <w:rFonts w:ascii="Times New Roman" w:hAnsi="Times New Roman"/>
          <w:sz w:val="24"/>
        </w:rPr>
        <w:t>?</w:t>
      </w:r>
      <w:r w:rsidR="00DD6E8E" w:rsidRPr="00100122">
        <w:rPr>
          <w:rStyle w:val="FootnoteReference"/>
          <w:rFonts w:ascii="Times New Roman" w:hAnsi="Times New Roman"/>
          <w:sz w:val="24"/>
        </w:rPr>
        <w:footnoteReference w:id="12"/>
      </w:r>
      <w:r w:rsidR="00FC02C7" w:rsidRPr="00100122">
        <w:rPr>
          <w:rFonts w:ascii="Times New Roman" w:hAnsi="Times New Roman"/>
          <w:sz w:val="24"/>
        </w:rPr>
        <w:t xml:space="preserve"> </w:t>
      </w:r>
      <w:r w:rsidR="00AA3F21" w:rsidRPr="00100122">
        <w:rPr>
          <w:rFonts w:ascii="Times New Roman" w:hAnsi="Times New Roman"/>
          <w:sz w:val="24"/>
        </w:rPr>
        <w:t xml:space="preserve">As </w:t>
      </w:r>
      <w:r w:rsidR="000A3D2C" w:rsidRPr="00100122">
        <w:rPr>
          <w:rFonts w:ascii="Times New Roman" w:hAnsi="Times New Roman"/>
          <w:sz w:val="24"/>
        </w:rPr>
        <w:t>dissenters traveled throughout the Atlantic</w:t>
      </w:r>
      <w:r w:rsidR="00AA3F21" w:rsidRPr="00100122">
        <w:rPr>
          <w:rFonts w:ascii="Times New Roman" w:hAnsi="Times New Roman"/>
          <w:sz w:val="24"/>
        </w:rPr>
        <w:t xml:space="preserve">, prophets’ encounters with </w:t>
      </w:r>
      <w:r w:rsidR="007F4383" w:rsidRPr="00100122">
        <w:rPr>
          <w:rFonts w:ascii="Times New Roman" w:hAnsi="Times New Roman"/>
          <w:sz w:val="24"/>
        </w:rPr>
        <w:t>those of other nationalities</w:t>
      </w:r>
      <w:r w:rsidR="00AA3F21" w:rsidRPr="00100122">
        <w:rPr>
          <w:rFonts w:ascii="Times New Roman" w:hAnsi="Times New Roman"/>
          <w:sz w:val="24"/>
        </w:rPr>
        <w:t xml:space="preserve"> challenged and shaped</w:t>
      </w:r>
      <w:r w:rsidR="007F4383" w:rsidRPr="00100122">
        <w:rPr>
          <w:rFonts w:ascii="Times New Roman" w:hAnsi="Times New Roman"/>
          <w:sz w:val="24"/>
        </w:rPr>
        <w:t xml:space="preserve"> their own</w:t>
      </w:r>
      <w:r w:rsidR="00AA3F21" w:rsidRPr="00100122">
        <w:rPr>
          <w:rFonts w:ascii="Times New Roman" w:hAnsi="Times New Roman"/>
          <w:sz w:val="24"/>
        </w:rPr>
        <w:t xml:space="preserve"> national identity. On the one hand, national identities remained strong. </w:t>
      </w:r>
      <w:r w:rsidR="00EE2582" w:rsidRPr="00100122">
        <w:rPr>
          <w:rFonts w:ascii="Times New Roman" w:hAnsi="Times New Roman"/>
          <w:sz w:val="24"/>
        </w:rPr>
        <w:t xml:space="preserve">Two years after the Act of Union, </w:t>
      </w:r>
      <w:r w:rsidR="00AA3F21" w:rsidRPr="00100122">
        <w:rPr>
          <w:rFonts w:ascii="Times New Roman" w:hAnsi="Times New Roman"/>
          <w:sz w:val="24"/>
        </w:rPr>
        <w:t xml:space="preserve">Deborah Bell, a native of Yorkshire, traveled </w:t>
      </w:r>
      <w:r w:rsidR="008E4453" w:rsidRPr="00100122">
        <w:rPr>
          <w:rFonts w:ascii="Times New Roman" w:hAnsi="Times New Roman"/>
          <w:sz w:val="24"/>
        </w:rPr>
        <w:t xml:space="preserve">with a fellow Quaker only </w:t>
      </w:r>
      <w:r w:rsidR="007F4383" w:rsidRPr="00100122">
        <w:rPr>
          <w:rFonts w:ascii="Times New Roman" w:hAnsi="Times New Roman"/>
          <w:sz w:val="24"/>
        </w:rPr>
        <w:t xml:space="preserve">a couple </w:t>
      </w:r>
      <w:r w:rsidR="008E4453" w:rsidRPr="00100122">
        <w:rPr>
          <w:rFonts w:ascii="Times New Roman" w:hAnsi="Times New Roman"/>
          <w:sz w:val="24"/>
        </w:rPr>
        <w:t xml:space="preserve">of </w:t>
      </w:r>
      <w:r w:rsidR="007F4383" w:rsidRPr="00100122">
        <w:rPr>
          <w:rFonts w:ascii="Times New Roman" w:hAnsi="Times New Roman"/>
          <w:sz w:val="24"/>
        </w:rPr>
        <w:t xml:space="preserve">hundred miles northward </w:t>
      </w:r>
      <w:r w:rsidR="00D968BC" w:rsidRPr="00100122">
        <w:rPr>
          <w:rFonts w:ascii="Times New Roman" w:hAnsi="Times New Roman"/>
          <w:sz w:val="24"/>
        </w:rPr>
        <w:t xml:space="preserve">to Glasgow. </w:t>
      </w:r>
      <w:r w:rsidR="00092B98" w:rsidRPr="00100122">
        <w:rPr>
          <w:rFonts w:ascii="Times New Roman" w:hAnsi="Times New Roman"/>
          <w:sz w:val="24"/>
        </w:rPr>
        <w:t>When her companion spoke, the gathered crowd threw objects and broke windo</w:t>
      </w:r>
      <w:r w:rsidR="007E18C3" w:rsidRPr="00100122">
        <w:rPr>
          <w:rFonts w:ascii="Times New Roman" w:hAnsi="Times New Roman"/>
          <w:sz w:val="24"/>
        </w:rPr>
        <w:t>w</w:t>
      </w:r>
      <w:r w:rsidR="00092B98" w:rsidRPr="00100122">
        <w:rPr>
          <w:rFonts w:ascii="Times New Roman" w:hAnsi="Times New Roman"/>
          <w:sz w:val="24"/>
        </w:rPr>
        <w:t>s</w:t>
      </w:r>
      <w:r w:rsidR="00AA3F21" w:rsidRPr="00100122">
        <w:rPr>
          <w:rFonts w:ascii="Times New Roman" w:hAnsi="Times New Roman"/>
          <w:sz w:val="24"/>
        </w:rPr>
        <w:t xml:space="preserve">. </w:t>
      </w:r>
      <w:r w:rsidR="00D968BC" w:rsidRPr="00100122">
        <w:rPr>
          <w:rFonts w:ascii="Times New Roman" w:hAnsi="Times New Roman"/>
          <w:sz w:val="24"/>
        </w:rPr>
        <w:t>In chiding the</w:t>
      </w:r>
      <w:r w:rsidR="007F4383" w:rsidRPr="00100122">
        <w:rPr>
          <w:rFonts w:ascii="Times New Roman" w:hAnsi="Times New Roman"/>
          <w:sz w:val="24"/>
        </w:rPr>
        <w:t xml:space="preserve"> audience</w:t>
      </w:r>
      <w:r w:rsidR="00D968BC" w:rsidRPr="00100122">
        <w:rPr>
          <w:rFonts w:ascii="Times New Roman" w:hAnsi="Times New Roman"/>
          <w:sz w:val="24"/>
        </w:rPr>
        <w:t>, Bell chose to highlight their difference of nationality</w:t>
      </w:r>
      <w:r w:rsidR="00AA3F21" w:rsidRPr="00100122">
        <w:rPr>
          <w:rFonts w:ascii="Times New Roman" w:hAnsi="Times New Roman"/>
          <w:sz w:val="24"/>
        </w:rPr>
        <w:t>: “</w:t>
      </w:r>
      <w:r w:rsidR="00AA3F21" w:rsidRPr="00100122">
        <w:rPr>
          <w:rFonts w:ascii="Times New Roman" w:eastAsiaTheme="minorEastAsia" w:hAnsi="Times New Roman"/>
          <w:sz w:val="24"/>
        </w:rPr>
        <w:t xml:space="preserve">We are come from another Nation in the Love of Christ to visit you, and at our Return it is likely they will enquire of us, concerning the People of Scotland; and what shall we </w:t>
      </w:r>
      <w:r w:rsidR="007F4383" w:rsidRPr="00100122">
        <w:rPr>
          <w:rFonts w:ascii="Times New Roman" w:eastAsiaTheme="minorEastAsia" w:hAnsi="Times New Roman"/>
          <w:sz w:val="24"/>
        </w:rPr>
        <w:t>say</w:t>
      </w:r>
      <w:r w:rsidR="00756108" w:rsidRPr="00100122">
        <w:rPr>
          <w:rFonts w:ascii="Times New Roman" w:eastAsiaTheme="minorEastAsia" w:hAnsi="Times New Roman"/>
          <w:sz w:val="24"/>
        </w:rPr>
        <w:t>…</w:t>
      </w:r>
      <w:r w:rsidR="00AA3F21" w:rsidRPr="00100122">
        <w:rPr>
          <w:rFonts w:ascii="Times New Roman" w:eastAsiaTheme="minorEastAsia" w:hAnsi="Times New Roman"/>
          <w:sz w:val="24"/>
        </w:rPr>
        <w:t>You are a reproach to your Nation</w:t>
      </w:r>
      <w:r w:rsidR="00756108" w:rsidRPr="00100122">
        <w:rPr>
          <w:rFonts w:ascii="Times New Roman" w:eastAsiaTheme="minorEastAsia" w:hAnsi="Times New Roman"/>
          <w:sz w:val="24"/>
        </w:rPr>
        <w:t>.”</w:t>
      </w:r>
      <w:r w:rsidR="00756108" w:rsidRPr="00100122">
        <w:rPr>
          <w:rStyle w:val="FootnoteReference"/>
          <w:rFonts w:ascii="Times New Roman" w:eastAsiaTheme="minorEastAsia" w:hAnsi="Times New Roman"/>
          <w:sz w:val="24"/>
        </w:rPr>
        <w:footnoteReference w:id="13"/>
      </w:r>
      <w:r w:rsidR="00756108" w:rsidRPr="00100122">
        <w:rPr>
          <w:rFonts w:ascii="Times New Roman" w:eastAsiaTheme="minorEastAsia" w:hAnsi="Times New Roman"/>
          <w:sz w:val="24"/>
        </w:rPr>
        <w:t xml:space="preserve"> </w:t>
      </w:r>
      <w:r w:rsidR="00D968BC" w:rsidRPr="00100122">
        <w:rPr>
          <w:rFonts w:ascii="Times New Roman" w:eastAsiaTheme="minorEastAsia" w:hAnsi="Times New Roman"/>
          <w:sz w:val="24"/>
        </w:rPr>
        <w:t xml:space="preserve">At the same time, however, </w:t>
      </w:r>
      <w:r w:rsidR="00D968BC" w:rsidRPr="00100122">
        <w:rPr>
          <w:rFonts w:ascii="Times New Roman" w:hAnsi="Times New Roman"/>
          <w:sz w:val="24"/>
        </w:rPr>
        <w:t xml:space="preserve">millenarian groups such as the Philadelphians, Quakers, and Labadists were eager to seek out other “elect” in other parts of the world. They formed supranational imagined and real communities with other would-be reformers. </w:t>
      </w:r>
      <w:r w:rsidR="00D968BC" w:rsidRPr="00100122">
        <w:rPr>
          <w:rFonts w:ascii="Times New Roman" w:eastAsiaTheme="minorEastAsia" w:hAnsi="Times New Roman"/>
          <w:sz w:val="24"/>
        </w:rPr>
        <w:t>The nation, like election, was thus a fluid concept during this era—but one that</w:t>
      </w:r>
      <w:r w:rsidR="00CD70B6" w:rsidRPr="00100122">
        <w:rPr>
          <w:rFonts w:ascii="Times New Roman" w:eastAsiaTheme="minorEastAsia" w:hAnsi="Times New Roman"/>
          <w:sz w:val="24"/>
        </w:rPr>
        <w:t xml:space="preserve"> female</w:t>
      </w:r>
      <w:r w:rsidR="00D968BC" w:rsidRPr="00100122">
        <w:rPr>
          <w:rFonts w:ascii="Times New Roman" w:eastAsiaTheme="minorEastAsia" w:hAnsi="Times New Roman"/>
          <w:sz w:val="24"/>
        </w:rPr>
        <w:t xml:space="preserve"> prophetic discourse sought to address.</w:t>
      </w:r>
    </w:p>
    <w:p w:rsidR="0025600C" w:rsidRPr="00100122" w:rsidRDefault="00BC3ADF" w:rsidP="00171875">
      <w:pPr>
        <w:spacing w:line="480" w:lineRule="auto"/>
        <w:ind w:firstLine="720"/>
        <w:rPr>
          <w:rFonts w:ascii="Times New Roman" w:hAnsi="Times New Roman"/>
          <w:sz w:val="24"/>
        </w:rPr>
      </w:pPr>
      <w:r>
        <w:rPr>
          <w:rFonts w:ascii="Times New Roman" w:hAnsi="Times New Roman"/>
          <w:sz w:val="24"/>
        </w:rPr>
        <w:t>Throughout this period</w:t>
      </w:r>
      <w:r w:rsidR="003F6CAE" w:rsidRPr="00100122">
        <w:rPr>
          <w:rFonts w:ascii="Times New Roman" w:hAnsi="Times New Roman"/>
          <w:sz w:val="24"/>
        </w:rPr>
        <w:t>, we have also seen how prophets used the i</w:t>
      </w:r>
      <w:r w:rsidR="002F1D06" w:rsidRPr="00100122">
        <w:rPr>
          <w:rFonts w:ascii="Times New Roman" w:hAnsi="Times New Roman"/>
          <w:sz w:val="24"/>
        </w:rPr>
        <w:t xml:space="preserve">dea of </w:t>
      </w:r>
      <w:r w:rsidR="00D968BC" w:rsidRPr="00100122">
        <w:rPr>
          <w:rFonts w:ascii="Times New Roman" w:hAnsi="Times New Roman"/>
          <w:sz w:val="24"/>
        </w:rPr>
        <w:t>their</w:t>
      </w:r>
      <w:r w:rsidR="00E11B35" w:rsidRPr="00100122">
        <w:rPr>
          <w:rFonts w:ascii="Times New Roman" w:hAnsi="Times New Roman"/>
          <w:sz w:val="24"/>
        </w:rPr>
        <w:t xml:space="preserve"> elect or</w:t>
      </w:r>
      <w:r w:rsidR="00D968BC" w:rsidRPr="00100122">
        <w:rPr>
          <w:rFonts w:ascii="Times New Roman" w:hAnsi="Times New Roman"/>
          <w:sz w:val="24"/>
        </w:rPr>
        <w:t xml:space="preserve"> chosen status, </w:t>
      </w:r>
      <w:r w:rsidR="00193B35" w:rsidRPr="00100122">
        <w:rPr>
          <w:rFonts w:ascii="Times New Roman" w:hAnsi="Times New Roman"/>
          <w:sz w:val="24"/>
        </w:rPr>
        <w:t xml:space="preserve">whether as prophets or </w:t>
      </w:r>
      <w:r w:rsidR="00D968BC" w:rsidRPr="00100122">
        <w:rPr>
          <w:rFonts w:ascii="Times New Roman" w:hAnsi="Times New Roman"/>
          <w:sz w:val="24"/>
        </w:rPr>
        <w:t xml:space="preserve">as members of elect communities, </w:t>
      </w:r>
      <w:r w:rsidR="002F1D06" w:rsidRPr="00100122">
        <w:rPr>
          <w:rFonts w:ascii="Times New Roman" w:hAnsi="Times New Roman"/>
          <w:sz w:val="24"/>
        </w:rPr>
        <w:t>to convey authority. The female prophets in this study</w:t>
      </w:r>
      <w:r w:rsidR="007F4383" w:rsidRPr="00100122">
        <w:rPr>
          <w:rFonts w:ascii="Times New Roman" w:hAnsi="Times New Roman"/>
          <w:sz w:val="24"/>
        </w:rPr>
        <w:t xml:space="preserve"> believed that they were chosen vessels who </w:t>
      </w:r>
      <w:r w:rsidR="002F1D06" w:rsidRPr="00100122">
        <w:rPr>
          <w:rFonts w:ascii="Times New Roman" w:hAnsi="Times New Roman"/>
          <w:sz w:val="24"/>
        </w:rPr>
        <w:t xml:space="preserve">had the </w:t>
      </w:r>
      <w:r w:rsidR="003F6CAE" w:rsidRPr="00100122">
        <w:rPr>
          <w:rFonts w:ascii="Times New Roman" w:hAnsi="Times New Roman"/>
          <w:sz w:val="24"/>
        </w:rPr>
        <w:t>obligation</w:t>
      </w:r>
      <w:r w:rsidR="002F1D06" w:rsidRPr="00100122">
        <w:rPr>
          <w:rFonts w:ascii="Times New Roman" w:hAnsi="Times New Roman"/>
          <w:sz w:val="24"/>
        </w:rPr>
        <w:t xml:space="preserve"> and (in many cases) the compulsion to speak for God. Election</w:t>
      </w:r>
      <w:r w:rsidR="007F4383" w:rsidRPr="00100122">
        <w:rPr>
          <w:rFonts w:ascii="Times New Roman" w:hAnsi="Times New Roman"/>
          <w:sz w:val="24"/>
        </w:rPr>
        <w:t xml:space="preserve"> and </w:t>
      </w:r>
      <w:r w:rsidR="002F1D06" w:rsidRPr="00100122">
        <w:rPr>
          <w:rFonts w:ascii="Times New Roman" w:hAnsi="Times New Roman"/>
          <w:sz w:val="24"/>
        </w:rPr>
        <w:t xml:space="preserve">chosenness, like prophecy, </w:t>
      </w:r>
      <w:r w:rsidR="007F4383" w:rsidRPr="00100122">
        <w:rPr>
          <w:rFonts w:ascii="Times New Roman" w:hAnsi="Times New Roman"/>
          <w:sz w:val="24"/>
        </w:rPr>
        <w:t>became</w:t>
      </w:r>
      <w:r w:rsidR="002F1D06" w:rsidRPr="00100122">
        <w:rPr>
          <w:rFonts w:ascii="Times New Roman" w:hAnsi="Times New Roman"/>
          <w:sz w:val="24"/>
        </w:rPr>
        <w:t xml:space="preserve"> concept</w:t>
      </w:r>
      <w:r w:rsidR="007F4383" w:rsidRPr="00100122">
        <w:rPr>
          <w:rFonts w:ascii="Times New Roman" w:hAnsi="Times New Roman"/>
          <w:sz w:val="24"/>
        </w:rPr>
        <w:t>s</w:t>
      </w:r>
      <w:r w:rsidR="002F1D06" w:rsidRPr="00100122">
        <w:rPr>
          <w:rFonts w:ascii="Times New Roman" w:hAnsi="Times New Roman"/>
          <w:sz w:val="24"/>
        </w:rPr>
        <w:t xml:space="preserve"> that </w:t>
      </w:r>
      <w:r w:rsidR="003F6CAE" w:rsidRPr="00100122">
        <w:rPr>
          <w:rFonts w:ascii="Times New Roman" w:hAnsi="Times New Roman"/>
          <w:sz w:val="24"/>
        </w:rPr>
        <w:t>prophets</w:t>
      </w:r>
      <w:r w:rsidR="007F4383" w:rsidRPr="00100122">
        <w:rPr>
          <w:rFonts w:ascii="Times New Roman" w:hAnsi="Times New Roman"/>
          <w:sz w:val="24"/>
        </w:rPr>
        <w:t xml:space="preserve"> negotiated</w:t>
      </w:r>
      <w:r w:rsidR="00193B35" w:rsidRPr="00100122">
        <w:rPr>
          <w:rFonts w:ascii="Times New Roman" w:hAnsi="Times New Roman"/>
          <w:sz w:val="24"/>
        </w:rPr>
        <w:t xml:space="preserve"> </w:t>
      </w:r>
      <w:r w:rsidR="000A3D2C" w:rsidRPr="00100122">
        <w:rPr>
          <w:rFonts w:ascii="Times New Roman" w:hAnsi="Times New Roman"/>
          <w:sz w:val="24"/>
        </w:rPr>
        <w:t xml:space="preserve">continually </w:t>
      </w:r>
      <w:r w:rsidR="00193B35" w:rsidRPr="00100122">
        <w:rPr>
          <w:rFonts w:ascii="Times New Roman" w:hAnsi="Times New Roman"/>
          <w:sz w:val="24"/>
        </w:rPr>
        <w:t>as they staked out claims to authority as prophets, religious leaders, and members of non-tolerated religious communities</w:t>
      </w:r>
      <w:r w:rsidR="007F4383" w:rsidRPr="00100122">
        <w:rPr>
          <w:rFonts w:ascii="Times New Roman" w:hAnsi="Times New Roman"/>
          <w:sz w:val="24"/>
        </w:rPr>
        <w:t>. Election—w</w:t>
      </w:r>
      <w:r w:rsidR="002F1D06" w:rsidRPr="00100122">
        <w:rPr>
          <w:rFonts w:ascii="Times New Roman" w:hAnsi="Times New Roman"/>
          <w:sz w:val="24"/>
        </w:rPr>
        <w:t>hether soteriologi</w:t>
      </w:r>
      <w:r w:rsidR="007F4383" w:rsidRPr="00100122">
        <w:rPr>
          <w:rFonts w:ascii="Times New Roman" w:hAnsi="Times New Roman"/>
          <w:sz w:val="24"/>
        </w:rPr>
        <w:t>c</w:t>
      </w:r>
      <w:r w:rsidR="002F1D06" w:rsidRPr="00100122">
        <w:rPr>
          <w:rFonts w:ascii="Times New Roman" w:hAnsi="Times New Roman"/>
          <w:sz w:val="24"/>
        </w:rPr>
        <w:t>al, millenarian, or no</w:t>
      </w:r>
      <w:r w:rsidR="007F4383" w:rsidRPr="00100122">
        <w:rPr>
          <w:rFonts w:ascii="Times New Roman" w:hAnsi="Times New Roman"/>
          <w:sz w:val="24"/>
        </w:rPr>
        <w:t xml:space="preserve">n-doctrinal in its implications, and </w:t>
      </w:r>
      <w:r w:rsidR="002F1D06" w:rsidRPr="00100122">
        <w:rPr>
          <w:rFonts w:ascii="Times New Roman" w:hAnsi="Times New Roman"/>
          <w:sz w:val="24"/>
        </w:rPr>
        <w:t>whether</w:t>
      </w:r>
      <w:r w:rsidR="007F4383" w:rsidRPr="00100122">
        <w:rPr>
          <w:rFonts w:ascii="Times New Roman" w:hAnsi="Times New Roman"/>
          <w:sz w:val="24"/>
        </w:rPr>
        <w:t xml:space="preserve"> individual or collective in its construction—</w:t>
      </w:r>
      <w:r w:rsidR="000A3D2C" w:rsidRPr="00100122">
        <w:rPr>
          <w:rFonts w:ascii="Times New Roman" w:hAnsi="Times New Roman"/>
          <w:sz w:val="24"/>
        </w:rPr>
        <w:t>occupied</w:t>
      </w:r>
      <w:r w:rsidR="002F1D06" w:rsidRPr="00100122">
        <w:rPr>
          <w:rFonts w:ascii="Times New Roman" w:hAnsi="Times New Roman"/>
          <w:sz w:val="24"/>
        </w:rPr>
        <w:t xml:space="preserve"> the prophets considered in this study. The adaptability of a language of election to the various situations in which prophets found themselves s</w:t>
      </w:r>
      <w:r w:rsidR="00E4255D" w:rsidRPr="00100122">
        <w:rPr>
          <w:rFonts w:ascii="Times New Roman" w:hAnsi="Times New Roman"/>
          <w:sz w:val="24"/>
        </w:rPr>
        <w:t>uggests that election had rhetorical</w:t>
      </w:r>
      <w:r w:rsidR="002F1D06" w:rsidRPr="00100122">
        <w:rPr>
          <w:rFonts w:ascii="Times New Roman" w:hAnsi="Times New Roman"/>
          <w:sz w:val="24"/>
        </w:rPr>
        <w:t xml:space="preserve"> </w:t>
      </w:r>
      <w:r w:rsidR="00E4255D" w:rsidRPr="00100122">
        <w:rPr>
          <w:rFonts w:ascii="Times New Roman" w:hAnsi="Times New Roman"/>
          <w:sz w:val="24"/>
        </w:rPr>
        <w:t>weight</w:t>
      </w:r>
      <w:r w:rsidR="002F1D06" w:rsidRPr="00100122">
        <w:rPr>
          <w:rFonts w:ascii="Times New Roman" w:hAnsi="Times New Roman"/>
          <w:sz w:val="24"/>
        </w:rPr>
        <w:t xml:space="preserve"> in the seventeenth and early eightee</w:t>
      </w:r>
      <w:r w:rsidR="007F4383" w:rsidRPr="00100122">
        <w:rPr>
          <w:rFonts w:ascii="Times New Roman" w:hAnsi="Times New Roman"/>
          <w:sz w:val="24"/>
        </w:rPr>
        <w:t>nth centuries. The language of election</w:t>
      </w:r>
      <w:r w:rsidR="002F1D06" w:rsidRPr="00100122">
        <w:rPr>
          <w:rFonts w:ascii="Times New Roman" w:hAnsi="Times New Roman"/>
          <w:sz w:val="24"/>
        </w:rPr>
        <w:t xml:space="preserve"> was a </w:t>
      </w:r>
      <w:r w:rsidR="009A6582" w:rsidRPr="00100122">
        <w:rPr>
          <w:rFonts w:ascii="Times New Roman" w:hAnsi="Times New Roman"/>
          <w:sz w:val="24"/>
        </w:rPr>
        <w:t xml:space="preserve">significant </w:t>
      </w:r>
      <w:r w:rsidR="002F1D06" w:rsidRPr="00100122">
        <w:rPr>
          <w:rFonts w:ascii="Times New Roman" w:hAnsi="Times New Roman"/>
          <w:sz w:val="24"/>
        </w:rPr>
        <w:t>force in shaping the direction of radical religion and its relationship</w:t>
      </w:r>
      <w:r w:rsidR="0004184C">
        <w:rPr>
          <w:rFonts w:ascii="Times New Roman" w:hAnsi="Times New Roman"/>
          <w:sz w:val="24"/>
        </w:rPr>
        <w:t xml:space="preserve"> to </w:t>
      </w:r>
      <w:r w:rsidR="00104BF6">
        <w:rPr>
          <w:rFonts w:ascii="Times New Roman" w:hAnsi="Times New Roman"/>
          <w:sz w:val="24"/>
        </w:rPr>
        <w:t xml:space="preserve">various </w:t>
      </w:r>
      <w:r w:rsidR="0004184C">
        <w:rPr>
          <w:rFonts w:ascii="Times New Roman" w:hAnsi="Times New Roman"/>
          <w:sz w:val="24"/>
        </w:rPr>
        <w:t>religious and civic communities.</w:t>
      </w:r>
    </w:p>
    <w:p w:rsidR="007E1772" w:rsidRPr="00100122" w:rsidRDefault="0025600C" w:rsidP="003B22B9">
      <w:pPr>
        <w:spacing w:line="480" w:lineRule="auto"/>
        <w:ind w:firstLine="720"/>
        <w:rPr>
          <w:rFonts w:ascii="Times New Roman" w:hAnsi="Times New Roman"/>
          <w:sz w:val="24"/>
        </w:rPr>
      </w:pPr>
      <w:r w:rsidRPr="00100122">
        <w:rPr>
          <w:rFonts w:ascii="Times New Roman" w:hAnsi="Times New Roman"/>
          <w:sz w:val="24"/>
        </w:rPr>
        <w:t xml:space="preserve">The second way in which the transnational religious sphere of the late </w:t>
      </w:r>
      <w:r w:rsidR="00B65E6B" w:rsidRPr="00100122">
        <w:rPr>
          <w:rFonts w:ascii="Times New Roman" w:hAnsi="Times New Roman"/>
          <w:sz w:val="24"/>
        </w:rPr>
        <w:t>seventeenth</w:t>
      </w:r>
      <w:r w:rsidRPr="00100122">
        <w:rPr>
          <w:rFonts w:ascii="Times New Roman" w:hAnsi="Times New Roman"/>
          <w:sz w:val="24"/>
        </w:rPr>
        <w:t xml:space="preserve"> and early eighteenth centuries differed from its later eighteenth-century counterpart was that women were accorded par</w:t>
      </w:r>
      <w:r w:rsidR="00CD70B6" w:rsidRPr="00100122">
        <w:rPr>
          <w:rFonts w:ascii="Times New Roman" w:hAnsi="Times New Roman"/>
          <w:sz w:val="24"/>
        </w:rPr>
        <w:t>ticipation as prophets, writers</w:t>
      </w:r>
      <w:r w:rsidRPr="00100122">
        <w:rPr>
          <w:rFonts w:ascii="Times New Roman" w:hAnsi="Times New Roman"/>
          <w:sz w:val="24"/>
        </w:rPr>
        <w:t xml:space="preserve">, missionaries, and </w:t>
      </w:r>
      <w:r w:rsidR="002679A1" w:rsidRPr="00100122">
        <w:rPr>
          <w:rFonts w:ascii="Times New Roman" w:hAnsi="Times New Roman"/>
          <w:sz w:val="24"/>
        </w:rPr>
        <w:t>in some cases</w:t>
      </w:r>
      <w:r w:rsidRPr="00100122">
        <w:rPr>
          <w:rFonts w:ascii="Times New Roman" w:hAnsi="Times New Roman"/>
          <w:sz w:val="24"/>
        </w:rPr>
        <w:t xml:space="preserve"> l</w:t>
      </w:r>
      <w:r w:rsidR="00E11B35" w:rsidRPr="00100122">
        <w:rPr>
          <w:rFonts w:ascii="Times New Roman" w:hAnsi="Times New Roman"/>
          <w:sz w:val="24"/>
        </w:rPr>
        <w:t>eaders of religious communities</w:t>
      </w:r>
      <w:r w:rsidRPr="00100122">
        <w:rPr>
          <w:rFonts w:ascii="Times New Roman" w:hAnsi="Times New Roman"/>
          <w:sz w:val="24"/>
        </w:rPr>
        <w:t xml:space="preserve">. </w:t>
      </w:r>
      <w:r w:rsidR="009B6792" w:rsidRPr="00100122">
        <w:rPr>
          <w:rFonts w:ascii="Times New Roman" w:hAnsi="Times New Roman"/>
          <w:sz w:val="24"/>
        </w:rPr>
        <w:t>For these women, who broke societal gender norms</w:t>
      </w:r>
      <w:r w:rsidR="00CD70B6" w:rsidRPr="00100122">
        <w:rPr>
          <w:rFonts w:ascii="Times New Roman" w:hAnsi="Times New Roman"/>
          <w:sz w:val="24"/>
        </w:rPr>
        <w:t xml:space="preserve"> as public speakers and writers</w:t>
      </w:r>
      <w:r w:rsidR="009B6792" w:rsidRPr="00100122">
        <w:rPr>
          <w:rFonts w:ascii="Times New Roman" w:hAnsi="Times New Roman"/>
          <w:sz w:val="24"/>
        </w:rPr>
        <w:t>,</w:t>
      </w:r>
      <w:r w:rsidR="003440A3" w:rsidRPr="00100122">
        <w:rPr>
          <w:rFonts w:ascii="Times New Roman" w:hAnsi="Times New Roman"/>
          <w:sz w:val="24"/>
        </w:rPr>
        <w:t xml:space="preserve"> c</w:t>
      </w:r>
      <w:r w:rsidRPr="00100122">
        <w:rPr>
          <w:rFonts w:ascii="Times New Roman" w:hAnsi="Times New Roman"/>
          <w:sz w:val="24"/>
        </w:rPr>
        <w:t xml:space="preserve">onstructions of gender influenced the religious context in which </w:t>
      </w:r>
      <w:r w:rsidR="009B6792" w:rsidRPr="00100122">
        <w:rPr>
          <w:rFonts w:ascii="Times New Roman" w:hAnsi="Times New Roman"/>
          <w:sz w:val="24"/>
        </w:rPr>
        <w:t xml:space="preserve">their </w:t>
      </w:r>
      <w:r w:rsidRPr="00100122">
        <w:rPr>
          <w:rFonts w:ascii="Times New Roman" w:hAnsi="Times New Roman"/>
          <w:sz w:val="24"/>
        </w:rPr>
        <w:t>prophecy emerged</w:t>
      </w:r>
      <w:r w:rsidR="007E1772" w:rsidRPr="00100122">
        <w:rPr>
          <w:rFonts w:ascii="Times New Roman" w:hAnsi="Times New Roman"/>
          <w:sz w:val="24"/>
        </w:rPr>
        <w:t>.</w:t>
      </w:r>
      <w:r w:rsidR="003440A3" w:rsidRPr="00100122">
        <w:rPr>
          <w:rStyle w:val="FootnoteReference"/>
          <w:rFonts w:ascii="Times New Roman" w:hAnsi="Times New Roman"/>
          <w:sz w:val="24"/>
        </w:rPr>
        <w:footnoteReference w:id="14"/>
      </w:r>
      <w:r w:rsidR="007E1772" w:rsidRPr="00100122">
        <w:rPr>
          <w:rFonts w:ascii="Times New Roman" w:hAnsi="Times New Roman"/>
          <w:sz w:val="24"/>
        </w:rPr>
        <w:t xml:space="preserve"> </w:t>
      </w:r>
      <w:r w:rsidR="003440A3" w:rsidRPr="00100122">
        <w:rPr>
          <w:rFonts w:ascii="Times New Roman" w:hAnsi="Times New Roman"/>
          <w:sz w:val="24"/>
        </w:rPr>
        <w:t xml:space="preserve">In other words, </w:t>
      </w:r>
      <w:r w:rsidR="00B65E6B" w:rsidRPr="00100122">
        <w:rPr>
          <w:rFonts w:ascii="Times New Roman" w:hAnsi="Times New Roman"/>
          <w:sz w:val="24"/>
        </w:rPr>
        <w:t>gender functioned as a category of religious prophecy.</w:t>
      </w:r>
    </w:p>
    <w:p w:rsidR="00751850" w:rsidRPr="00100122" w:rsidRDefault="007E1772" w:rsidP="003B22B9">
      <w:pPr>
        <w:spacing w:line="480" w:lineRule="auto"/>
        <w:ind w:firstLine="720"/>
        <w:rPr>
          <w:rFonts w:ascii="Times New Roman" w:hAnsi="Times New Roman"/>
          <w:sz w:val="24"/>
        </w:rPr>
      </w:pPr>
      <w:r w:rsidRPr="00100122">
        <w:rPr>
          <w:rFonts w:ascii="Times New Roman" w:hAnsi="Times New Roman"/>
          <w:sz w:val="24"/>
        </w:rPr>
        <w:t xml:space="preserve">Dissenters frequently defended female prophecy using scriptural references. For example, </w:t>
      </w:r>
      <w:r w:rsidR="007752C4" w:rsidRPr="00100122">
        <w:rPr>
          <w:rFonts w:ascii="Times New Roman" w:hAnsi="Times New Roman"/>
          <w:sz w:val="24"/>
        </w:rPr>
        <w:t>some</w:t>
      </w:r>
      <w:r w:rsidRPr="00100122">
        <w:rPr>
          <w:rFonts w:ascii="Times New Roman" w:hAnsi="Times New Roman"/>
          <w:sz w:val="24"/>
        </w:rPr>
        <w:t xml:space="preserve"> dissenters</w:t>
      </w:r>
      <w:r w:rsidR="003B22B9" w:rsidRPr="00100122">
        <w:rPr>
          <w:rFonts w:ascii="Times New Roman" w:hAnsi="Times New Roman"/>
          <w:sz w:val="24"/>
        </w:rPr>
        <w:t xml:space="preserve"> quoted</w:t>
      </w:r>
      <w:r w:rsidRPr="00100122">
        <w:rPr>
          <w:rFonts w:ascii="Times New Roman" w:hAnsi="Times New Roman"/>
          <w:sz w:val="24"/>
        </w:rPr>
        <w:t xml:space="preserve"> the passage in</w:t>
      </w:r>
      <w:r w:rsidR="003B22B9" w:rsidRPr="00100122">
        <w:rPr>
          <w:rFonts w:ascii="Times New Roman" w:hAnsi="Times New Roman"/>
          <w:sz w:val="24"/>
        </w:rPr>
        <w:t xml:space="preserve"> Galatians 3:28 that there was neither male nor female in Christ. Roach mentioned this passage in his defense of female prophecy, as did </w:t>
      </w:r>
      <w:r w:rsidR="007752C4" w:rsidRPr="00100122">
        <w:rPr>
          <w:rFonts w:ascii="Times New Roman" w:hAnsi="Times New Roman"/>
          <w:sz w:val="24"/>
        </w:rPr>
        <w:t>the Quaker</w:t>
      </w:r>
      <w:r w:rsidR="003B22B9" w:rsidRPr="00100122">
        <w:rPr>
          <w:rFonts w:ascii="Times New Roman" w:hAnsi="Times New Roman"/>
          <w:sz w:val="24"/>
        </w:rPr>
        <w:t xml:space="preserve"> Deborah Bell </w:t>
      </w:r>
      <w:r w:rsidR="007752C4" w:rsidRPr="00100122">
        <w:rPr>
          <w:rFonts w:ascii="Times New Roman" w:hAnsi="Times New Roman"/>
          <w:sz w:val="24"/>
        </w:rPr>
        <w:t>in hers</w:t>
      </w:r>
      <w:r w:rsidR="003B22B9" w:rsidRPr="00100122">
        <w:rPr>
          <w:rFonts w:ascii="Times New Roman" w:hAnsi="Times New Roman"/>
          <w:sz w:val="24"/>
        </w:rPr>
        <w:t>.</w:t>
      </w:r>
      <w:r w:rsidR="003B22B9" w:rsidRPr="00100122">
        <w:rPr>
          <w:rStyle w:val="FootnoteReference"/>
          <w:rFonts w:ascii="Times New Roman" w:hAnsi="Times New Roman"/>
          <w:sz w:val="24"/>
        </w:rPr>
        <w:footnoteReference w:id="15"/>
      </w:r>
      <w:r w:rsidR="003B22B9" w:rsidRPr="00100122">
        <w:rPr>
          <w:rFonts w:ascii="Times New Roman" w:hAnsi="Times New Roman"/>
          <w:sz w:val="24"/>
        </w:rPr>
        <w:t xml:space="preserve"> But while fem</w:t>
      </w:r>
      <w:r w:rsidRPr="00100122">
        <w:rPr>
          <w:rFonts w:ascii="Times New Roman" w:hAnsi="Times New Roman"/>
          <w:sz w:val="24"/>
        </w:rPr>
        <w:t xml:space="preserve">ale prophets often turned to scripture to defend their </w:t>
      </w:r>
      <w:r w:rsidR="001C07C8" w:rsidRPr="00100122">
        <w:rPr>
          <w:rFonts w:ascii="Times New Roman" w:hAnsi="Times New Roman"/>
          <w:sz w:val="24"/>
        </w:rPr>
        <w:t>right to prophesy</w:t>
      </w:r>
      <w:r w:rsidR="003B22B9" w:rsidRPr="00100122">
        <w:rPr>
          <w:rFonts w:ascii="Times New Roman" w:hAnsi="Times New Roman"/>
          <w:sz w:val="24"/>
        </w:rPr>
        <w:t>, there were significant variations in</w:t>
      </w:r>
      <w:r w:rsidR="003440A3" w:rsidRPr="00100122">
        <w:rPr>
          <w:rFonts w:ascii="Times New Roman" w:hAnsi="Times New Roman"/>
          <w:sz w:val="24"/>
        </w:rPr>
        <w:t xml:space="preserve"> how women prophesi</w:t>
      </w:r>
      <w:r w:rsidR="001C07C8" w:rsidRPr="00100122">
        <w:rPr>
          <w:rFonts w:ascii="Times New Roman" w:hAnsi="Times New Roman"/>
          <w:sz w:val="24"/>
        </w:rPr>
        <w:t>ed and in</w:t>
      </w:r>
      <w:r w:rsidR="003B22B9" w:rsidRPr="00100122">
        <w:rPr>
          <w:rFonts w:ascii="Times New Roman" w:hAnsi="Times New Roman"/>
          <w:sz w:val="24"/>
        </w:rPr>
        <w:t xml:space="preserve"> the position and status of women within their respective religious </w:t>
      </w:r>
      <w:r w:rsidR="00751850" w:rsidRPr="00100122">
        <w:rPr>
          <w:rFonts w:ascii="Times New Roman" w:hAnsi="Times New Roman"/>
          <w:sz w:val="24"/>
        </w:rPr>
        <w:t>communities.</w:t>
      </w:r>
      <w:r w:rsidR="00E11B35" w:rsidRPr="00100122">
        <w:rPr>
          <w:rFonts w:ascii="Times New Roman" w:hAnsi="Times New Roman"/>
          <w:sz w:val="24"/>
        </w:rPr>
        <w:t xml:space="preserve"> We can define roughly three categories of </w:t>
      </w:r>
      <w:r w:rsidR="003440A3" w:rsidRPr="00100122">
        <w:rPr>
          <w:rFonts w:ascii="Times New Roman" w:hAnsi="Times New Roman"/>
          <w:sz w:val="24"/>
        </w:rPr>
        <w:t xml:space="preserve">female </w:t>
      </w:r>
      <w:r w:rsidR="00E11B35" w:rsidRPr="00100122">
        <w:rPr>
          <w:rFonts w:ascii="Times New Roman" w:hAnsi="Times New Roman"/>
          <w:sz w:val="24"/>
        </w:rPr>
        <w:t>prophets.</w:t>
      </w:r>
      <w:r w:rsidR="006F201D" w:rsidRPr="00100122">
        <w:rPr>
          <w:rStyle w:val="FootnoteReference"/>
          <w:rFonts w:ascii="Times New Roman" w:hAnsi="Times New Roman"/>
          <w:sz w:val="24"/>
        </w:rPr>
        <w:footnoteReference w:id="16"/>
      </w:r>
    </w:p>
    <w:p w:rsidR="009B6792" w:rsidRPr="00100122" w:rsidRDefault="003440A3" w:rsidP="000757A2">
      <w:pPr>
        <w:spacing w:line="480" w:lineRule="auto"/>
        <w:ind w:firstLine="720"/>
        <w:rPr>
          <w:rFonts w:ascii="Times New Roman" w:hAnsi="Times New Roman"/>
          <w:sz w:val="24"/>
        </w:rPr>
      </w:pPr>
      <w:r w:rsidRPr="00100122">
        <w:rPr>
          <w:rFonts w:ascii="Times New Roman" w:hAnsi="Times New Roman"/>
          <w:sz w:val="24"/>
        </w:rPr>
        <w:t xml:space="preserve">First, we </w:t>
      </w:r>
      <w:r w:rsidR="009B6792" w:rsidRPr="00100122">
        <w:rPr>
          <w:rFonts w:ascii="Times New Roman" w:hAnsi="Times New Roman"/>
          <w:sz w:val="24"/>
        </w:rPr>
        <w:t>can group together the</w:t>
      </w:r>
      <w:r w:rsidRPr="00100122">
        <w:rPr>
          <w:rFonts w:ascii="Times New Roman" w:hAnsi="Times New Roman"/>
          <w:sz w:val="24"/>
        </w:rPr>
        <w:t xml:space="preserve"> </w:t>
      </w:r>
      <w:r w:rsidR="007E18C3" w:rsidRPr="00100122">
        <w:rPr>
          <w:rFonts w:ascii="Times New Roman" w:hAnsi="Times New Roman"/>
          <w:sz w:val="24"/>
        </w:rPr>
        <w:t xml:space="preserve">late seventeenth- and early eighteenth-century </w:t>
      </w:r>
      <w:r w:rsidRPr="00100122">
        <w:rPr>
          <w:rFonts w:ascii="Times New Roman" w:hAnsi="Times New Roman"/>
          <w:sz w:val="24"/>
        </w:rPr>
        <w:t xml:space="preserve">prophets </w:t>
      </w:r>
      <w:r w:rsidR="009B6792" w:rsidRPr="00100122">
        <w:rPr>
          <w:rFonts w:ascii="Times New Roman" w:hAnsi="Times New Roman"/>
          <w:sz w:val="24"/>
        </w:rPr>
        <w:t>influenced by Jacob Boehme</w:t>
      </w:r>
      <w:r w:rsidRPr="00100122">
        <w:rPr>
          <w:rFonts w:ascii="Times New Roman" w:hAnsi="Times New Roman"/>
          <w:sz w:val="24"/>
        </w:rPr>
        <w:t xml:space="preserve">. Behmenism </w:t>
      </w:r>
      <w:r w:rsidR="00CA06D9" w:rsidRPr="00100122">
        <w:rPr>
          <w:rFonts w:ascii="Times New Roman" w:hAnsi="Times New Roman"/>
          <w:sz w:val="24"/>
        </w:rPr>
        <w:t xml:space="preserve">contributed to the development of a </w:t>
      </w:r>
      <w:r w:rsidR="00B65E6B" w:rsidRPr="00100122">
        <w:rPr>
          <w:rFonts w:ascii="Times New Roman" w:hAnsi="Times New Roman"/>
          <w:sz w:val="24"/>
        </w:rPr>
        <w:t xml:space="preserve">prophetic discourse that was </w:t>
      </w:r>
      <w:r w:rsidR="00CD70B6" w:rsidRPr="00100122">
        <w:rPr>
          <w:rFonts w:ascii="Times New Roman" w:hAnsi="Times New Roman"/>
          <w:sz w:val="24"/>
        </w:rPr>
        <w:t>gendered, and p</w:t>
      </w:r>
      <w:r w:rsidR="004017A5" w:rsidRPr="00100122">
        <w:rPr>
          <w:rFonts w:ascii="Times New Roman" w:hAnsi="Times New Roman"/>
          <w:sz w:val="24"/>
        </w:rPr>
        <w:t>rophets such as Ann Bathurst and Antoinette Bourignon</w:t>
      </w:r>
      <w:r w:rsidR="003B22B9" w:rsidRPr="00100122">
        <w:rPr>
          <w:rFonts w:ascii="Times New Roman" w:hAnsi="Times New Roman"/>
          <w:sz w:val="24"/>
        </w:rPr>
        <w:t xml:space="preserve"> invoked a feminized language</w:t>
      </w:r>
      <w:r w:rsidR="004A6151" w:rsidRPr="00100122">
        <w:rPr>
          <w:rFonts w:ascii="Times New Roman" w:hAnsi="Times New Roman"/>
          <w:sz w:val="24"/>
        </w:rPr>
        <w:t>. Ann Bathurst</w:t>
      </w:r>
      <w:r w:rsidR="007B7C2C" w:rsidRPr="00100122">
        <w:rPr>
          <w:rFonts w:ascii="Times New Roman" w:hAnsi="Times New Roman"/>
          <w:sz w:val="24"/>
        </w:rPr>
        <w:t>, for example,</w:t>
      </w:r>
      <w:r w:rsidR="004A6151" w:rsidRPr="00100122">
        <w:rPr>
          <w:rFonts w:ascii="Times New Roman" w:hAnsi="Times New Roman"/>
          <w:sz w:val="24"/>
        </w:rPr>
        <w:t xml:space="preserve"> repeatedly drew on bridal and maternal language in constructing her identity as a visionary and prophet. Richard Roach stressed that women such as Jane Lead and Sarah Wiltshire were “female ambassadresses” of Divine Wisdom. These women saw themselves as having highly defined a</w:t>
      </w:r>
      <w:r w:rsidR="007B7C2C" w:rsidRPr="00100122">
        <w:rPr>
          <w:rFonts w:ascii="Times New Roman" w:hAnsi="Times New Roman"/>
          <w:sz w:val="24"/>
        </w:rPr>
        <w:t xml:space="preserve">nd highly individualized </w:t>
      </w:r>
      <w:r w:rsidR="009B6792" w:rsidRPr="00100122">
        <w:rPr>
          <w:rFonts w:ascii="Times New Roman" w:hAnsi="Times New Roman"/>
          <w:sz w:val="24"/>
        </w:rPr>
        <w:t>roles as</w:t>
      </w:r>
      <w:r w:rsidR="00CD70B6" w:rsidRPr="00100122">
        <w:rPr>
          <w:rFonts w:ascii="Times New Roman" w:hAnsi="Times New Roman"/>
          <w:sz w:val="24"/>
        </w:rPr>
        <w:t xml:space="preserve"> both</w:t>
      </w:r>
      <w:r w:rsidR="009B6792" w:rsidRPr="00100122">
        <w:rPr>
          <w:rFonts w:ascii="Times New Roman" w:hAnsi="Times New Roman"/>
          <w:sz w:val="24"/>
        </w:rPr>
        <w:t xml:space="preserve"> women</w:t>
      </w:r>
      <w:r w:rsidR="009B6792" w:rsidRPr="00100122">
        <w:rPr>
          <w:rFonts w:ascii="Times New Roman" w:hAnsi="Times New Roman"/>
          <w:i/>
          <w:sz w:val="24"/>
        </w:rPr>
        <w:t xml:space="preserve"> </w:t>
      </w:r>
      <w:r w:rsidR="009B6792" w:rsidRPr="00100122">
        <w:rPr>
          <w:rFonts w:ascii="Times New Roman" w:hAnsi="Times New Roman"/>
          <w:sz w:val="24"/>
        </w:rPr>
        <w:t>and millenarian reformers</w:t>
      </w:r>
      <w:r w:rsidR="000757A2" w:rsidRPr="00100122">
        <w:rPr>
          <w:rFonts w:ascii="Times New Roman" w:hAnsi="Times New Roman"/>
          <w:sz w:val="24"/>
        </w:rPr>
        <w:t>.</w:t>
      </w:r>
    </w:p>
    <w:p w:rsidR="00C06D5D" w:rsidRPr="00100122" w:rsidRDefault="00DC0068" w:rsidP="00273395">
      <w:pPr>
        <w:spacing w:line="480" w:lineRule="auto"/>
        <w:ind w:firstLine="720"/>
        <w:rPr>
          <w:rFonts w:ascii="Times New Roman" w:hAnsi="Times New Roman"/>
          <w:sz w:val="24"/>
        </w:rPr>
      </w:pPr>
      <w:r w:rsidRPr="00100122">
        <w:rPr>
          <w:rFonts w:ascii="Times New Roman" w:hAnsi="Times New Roman"/>
          <w:sz w:val="24"/>
        </w:rPr>
        <w:t>A</w:t>
      </w:r>
      <w:r w:rsidR="003B22B9" w:rsidRPr="00100122">
        <w:rPr>
          <w:rFonts w:ascii="Times New Roman" w:hAnsi="Times New Roman"/>
          <w:sz w:val="24"/>
        </w:rPr>
        <w:t xml:space="preserve">mong groups influenced by Boehme, individual women </w:t>
      </w:r>
      <w:r w:rsidR="000757A2" w:rsidRPr="00100122">
        <w:rPr>
          <w:rFonts w:ascii="Times New Roman" w:hAnsi="Times New Roman"/>
          <w:sz w:val="24"/>
        </w:rPr>
        <w:t>tended to rise</w:t>
      </w:r>
      <w:r w:rsidR="003B22B9" w:rsidRPr="00100122">
        <w:rPr>
          <w:rFonts w:ascii="Times New Roman" w:hAnsi="Times New Roman"/>
          <w:sz w:val="24"/>
        </w:rPr>
        <w:t xml:space="preserve"> to positions of prominence or leadership</w:t>
      </w:r>
      <w:r w:rsidR="00273395" w:rsidRPr="00100122">
        <w:rPr>
          <w:rFonts w:ascii="Times New Roman" w:hAnsi="Times New Roman"/>
          <w:sz w:val="24"/>
        </w:rPr>
        <w:t>, and they often attracted a following</w:t>
      </w:r>
      <w:r w:rsidR="003B22B9" w:rsidRPr="00100122">
        <w:rPr>
          <w:rFonts w:ascii="Times New Roman" w:hAnsi="Times New Roman"/>
          <w:sz w:val="24"/>
        </w:rPr>
        <w:t>. Ann Bathurst, J</w:t>
      </w:r>
      <w:r w:rsidR="0076778D">
        <w:rPr>
          <w:rFonts w:ascii="Times New Roman" w:hAnsi="Times New Roman"/>
          <w:sz w:val="24"/>
        </w:rPr>
        <w:t>ane Lead, Sarah Wiltshire, Rosa</w:t>
      </w:r>
      <w:r w:rsidR="003B22B9" w:rsidRPr="00100122">
        <w:rPr>
          <w:rFonts w:ascii="Times New Roman" w:hAnsi="Times New Roman"/>
          <w:sz w:val="24"/>
        </w:rPr>
        <w:t>mund</w:t>
      </w:r>
      <w:r w:rsidR="0076778D">
        <w:rPr>
          <w:rFonts w:ascii="Times New Roman" w:hAnsi="Times New Roman"/>
          <w:sz w:val="24"/>
        </w:rPr>
        <w:t>e</w:t>
      </w:r>
      <w:r w:rsidR="003B22B9" w:rsidRPr="00100122">
        <w:rPr>
          <w:rFonts w:ascii="Times New Roman" w:hAnsi="Times New Roman"/>
          <w:sz w:val="24"/>
        </w:rPr>
        <w:t xml:space="preserve"> von Asseburg, Eva von Buttlar, and Antoinette Bourignon </w:t>
      </w:r>
      <w:r w:rsidR="00582D53" w:rsidRPr="00100122">
        <w:rPr>
          <w:rFonts w:ascii="Times New Roman" w:hAnsi="Times New Roman"/>
          <w:sz w:val="24"/>
        </w:rPr>
        <w:t>all stand as examples of this</w:t>
      </w:r>
      <w:r w:rsidR="003B22B9" w:rsidRPr="00100122">
        <w:rPr>
          <w:rFonts w:ascii="Times New Roman" w:hAnsi="Times New Roman"/>
          <w:sz w:val="24"/>
        </w:rPr>
        <w:t>. The Philadelphians</w:t>
      </w:r>
      <w:r w:rsidR="000757A2" w:rsidRPr="00100122">
        <w:rPr>
          <w:rFonts w:ascii="Times New Roman" w:hAnsi="Times New Roman"/>
          <w:sz w:val="24"/>
        </w:rPr>
        <w:t xml:space="preserve"> </w:t>
      </w:r>
      <w:r w:rsidR="003B22B9" w:rsidRPr="00100122">
        <w:rPr>
          <w:rFonts w:ascii="Times New Roman" w:hAnsi="Times New Roman"/>
          <w:sz w:val="24"/>
        </w:rPr>
        <w:t>recognized prophetic women as the r</w:t>
      </w:r>
      <w:r w:rsidRPr="00100122">
        <w:rPr>
          <w:rFonts w:ascii="Times New Roman" w:hAnsi="Times New Roman"/>
          <w:sz w:val="24"/>
        </w:rPr>
        <w:t>epresentatives</w:t>
      </w:r>
      <w:r w:rsidR="000757A2" w:rsidRPr="00100122">
        <w:rPr>
          <w:rFonts w:ascii="Times New Roman" w:hAnsi="Times New Roman"/>
          <w:sz w:val="24"/>
        </w:rPr>
        <w:t xml:space="preserve"> or “female ambassadresses”</w:t>
      </w:r>
      <w:r w:rsidRPr="00100122">
        <w:rPr>
          <w:rFonts w:ascii="Times New Roman" w:hAnsi="Times New Roman"/>
          <w:sz w:val="24"/>
        </w:rPr>
        <w:t xml:space="preserve"> of Divine Wisdom, while </w:t>
      </w:r>
      <w:r w:rsidR="00FC02C7" w:rsidRPr="00100122">
        <w:rPr>
          <w:rFonts w:ascii="Times New Roman" w:hAnsi="Times New Roman"/>
          <w:sz w:val="24"/>
        </w:rPr>
        <w:t>some of Antoinette Bourignon’s</w:t>
      </w:r>
      <w:r w:rsidRPr="00100122">
        <w:rPr>
          <w:rFonts w:ascii="Times New Roman" w:hAnsi="Times New Roman"/>
          <w:sz w:val="24"/>
        </w:rPr>
        <w:t xml:space="preserve"> followers </w:t>
      </w:r>
      <w:r w:rsidR="00FC02C7" w:rsidRPr="00100122">
        <w:rPr>
          <w:rFonts w:ascii="Times New Roman" w:hAnsi="Times New Roman"/>
          <w:sz w:val="24"/>
        </w:rPr>
        <w:t xml:space="preserve">in Germany </w:t>
      </w:r>
      <w:r w:rsidRPr="00100122">
        <w:rPr>
          <w:rFonts w:ascii="Times New Roman" w:hAnsi="Times New Roman"/>
          <w:sz w:val="24"/>
        </w:rPr>
        <w:t>believed her to be the woman described in Revelation 12.</w:t>
      </w:r>
      <w:r w:rsidR="00AF18E0" w:rsidRPr="00100122">
        <w:rPr>
          <w:rFonts w:ascii="Times New Roman" w:hAnsi="Times New Roman"/>
          <w:sz w:val="24"/>
        </w:rPr>
        <w:t xml:space="preserve"> These </w:t>
      </w:r>
      <w:r w:rsidR="00D560D7" w:rsidRPr="00100122">
        <w:rPr>
          <w:rFonts w:ascii="Times New Roman" w:hAnsi="Times New Roman"/>
          <w:sz w:val="24"/>
        </w:rPr>
        <w:t>women and their followers</w:t>
      </w:r>
      <w:r w:rsidR="00AF18E0" w:rsidRPr="00100122">
        <w:rPr>
          <w:rFonts w:ascii="Times New Roman" w:hAnsi="Times New Roman"/>
          <w:sz w:val="24"/>
        </w:rPr>
        <w:t>, while differing in their beliefs about how exactly the millennium would unfold,</w:t>
      </w:r>
      <w:r w:rsidR="000B2864" w:rsidRPr="00100122">
        <w:rPr>
          <w:rStyle w:val="FootnoteReference"/>
          <w:rFonts w:ascii="Times New Roman" w:hAnsi="Times New Roman"/>
          <w:sz w:val="24"/>
        </w:rPr>
        <w:footnoteReference w:id="17"/>
      </w:r>
      <w:r w:rsidR="00AF18E0" w:rsidRPr="00100122">
        <w:rPr>
          <w:rFonts w:ascii="Times New Roman" w:hAnsi="Times New Roman"/>
          <w:sz w:val="24"/>
        </w:rPr>
        <w:t xml:space="preserve"> all believed that there would be a period of reform in which they</w:t>
      </w:r>
      <w:r w:rsidR="00FC02C7" w:rsidRPr="00100122">
        <w:rPr>
          <w:rFonts w:ascii="Times New Roman" w:hAnsi="Times New Roman"/>
          <w:sz w:val="24"/>
        </w:rPr>
        <w:t>, as chosen women,</w:t>
      </w:r>
      <w:r w:rsidR="00AF18E0" w:rsidRPr="00100122">
        <w:rPr>
          <w:rFonts w:ascii="Times New Roman" w:hAnsi="Times New Roman"/>
          <w:sz w:val="24"/>
        </w:rPr>
        <w:t xml:space="preserve"> would </w:t>
      </w:r>
      <w:r w:rsidR="003440A3" w:rsidRPr="00100122">
        <w:rPr>
          <w:rFonts w:ascii="Times New Roman" w:hAnsi="Times New Roman"/>
          <w:sz w:val="24"/>
        </w:rPr>
        <w:t>serve as</w:t>
      </w:r>
      <w:r w:rsidR="00AF18E0" w:rsidRPr="00100122">
        <w:rPr>
          <w:rFonts w:ascii="Times New Roman" w:hAnsi="Times New Roman"/>
          <w:sz w:val="24"/>
        </w:rPr>
        <w:t xml:space="preserve"> key reformers</w:t>
      </w:r>
      <w:r w:rsidR="000B2864" w:rsidRPr="00100122">
        <w:rPr>
          <w:rFonts w:ascii="Times New Roman" w:hAnsi="Times New Roman"/>
          <w:sz w:val="24"/>
        </w:rPr>
        <w:t>.</w:t>
      </w:r>
    </w:p>
    <w:p w:rsidR="00D560D7" w:rsidRPr="00100122" w:rsidRDefault="00472D7D" w:rsidP="00957BF0">
      <w:pPr>
        <w:spacing w:line="480" w:lineRule="auto"/>
        <w:ind w:firstLine="720"/>
        <w:rPr>
          <w:rFonts w:ascii="Times New Roman" w:hAnsi="Times New Roman"/>
          <w:sz w:val="24"/>
        </w:rPr>
      </w:pPr>
      <w:r>
        <w:rPr>
          <w:rFonts w:ascii="Times New Roman" w:hAnsi="Times New Roman"/>
          <w:sz w:val="24"/>
        </w:rPr>
        <w:t>T</w:t>
      </w:r>
      <w:r w:rsidR="006B1613" w:rsidRPr="00100122">
        <w:rPr>
          <w:rFonts w:ascii="Times New Roman" w:hAnsi="Times New Roman"/>
          <w:sz w:val="24"/>
        </w:rPr>
        <w:t xml:space="preserve">he </w:t>
      </w:r>
      <w:r w:rsidR="003440A3" w:rsidRPr="00100122">
        <w:rPr>
          <w:rFonts w:ascii="Times New Roman" w:hAnsi="Times New Roman"/>
          <w:sz w:val="24"/>
        </w:rPr>
        <w:t xml:space="preserve">early </w:t>
      </w:r>
      <w:r w:rsidR="006B1613" w:rsidRPr="00100122">
        <w:rPr>
          <w:rFonts w:ascii="Times New Roman" w:hAnsi="Times New Roman"/>
          <w:sz w:val="24"/>
        </w:rPr>
        <w:t xml:space="preserve">Quakers and </w:t>
      </w:r>
      <w:r w:rsidR="003440A3" w:rsidRPr="00100122">
        <w:rPr>
          <w:rFonts w:ascii="Times New Roman" w:hAnsi="Times New Roman"/>
          <w:sz w:val="24"/>
        </w:rPr>
        <w:t>many</w:t>
      </w:r>
      <w:r w:rsidR="000757A2" w:rsidRPr="00100122">
        <w:rPr>
          <w:rFonts w:ascii="Times New Roman" w:hAnsi="Times New Roman"/>
          <w:sz w:val="24"/>
        </w:rPr>
        <w:t xml:space="preserve"> of </w:t>
      </w:r>
      <w:r w:rsidR="003440A3" w:rsidRPr="00100122">
        <w:rPr>
          <w:rFonts w:ascii="Times New Roman" w:hAnsi="Times New Roman"/>
          <w:sz w:val="24"/>
        </w:rPr>
        <w:t>the Civil War prophets</w:t>
      </w:r>
      <w:r>
        <w:rPr>
          <w:rFonts w:ascii="Times New Roman" w:hAnsi="Times New Roman"/>
          <w:sz w:val="24"/>
        </w:rPr>
        <w:t xml:space="preserve"> belonged to a second category</w:t>
      </w:r>
      <w:r w:rsidR="003440A3" w:rsidRPr="00100122">
        <w:rPr>
          <w:rFonts w:ascii="Times New Roman" w:hAnsi="Times New Roman"/>
          <w:sz w:val="24"/>
        </w:rPr>
        <w:t xml:space="preserve">. </w:t>
      </w:r>
      <w:r w:rsidR="00FE01AD" w:rsidRPr="00100122">
        <w:rPr>
          <w:rFonts w:ascii="Times New Roman" w:hAnsi="Times New Roman"/>
          <w:sz w:val="24"/>
        </w:rPr>
        <w:t xml:space="preserve">These </w:t>
      </w:r>
      <w:r w:rsidR="003440A3" w:rsidRPr="00100122">
        <w:rPr>
          <w:rFonts w:ascii="Times New Roman" w:hAnsi="Times New Roman"/>
          <w:sz w:val="24"/>
        </w:rPr>
        <w:t>prophets</w:t>
      </w:r>
      <w:r w:rsidR="00FE01AD" w:rsidRPr="00100122">
        <w:rPr>
          <w:rFonts w:ascii="Times New Roman" w:hAnsi="Times New Roman"/>
          <w:sz w:val="24"/>
        </w:rPr>
        <w:t xml:space="preserve"> assigned eschatological meaning to prophecy</w:t>
      </w:r>
      <w:r w:rsidR="003440A3" w:rsidRPr="00100122">
        <w:rPr>
          <w:rFonts w:ascii="Times New Roman" w:hAnsi="Times New Roman"/>
          <w:sz w:val="24"/>
        </w:rPr>
        <w:t>, believing that they were living in the last</w:t>
      </w:r>
      <w:r w:rsidR="00926123" w:rsidRPr="00100122">
        <w:rPr>
          <w:rFonts w:ascii="Times New Roman" w:hAnsi="Times New Roman"/>
          <w:sz w:val="24"/>
        </w:rPr>
        <w:t xml:space="preserve"> days. Some, such as the early Quakers, were nebulous about how</w:t>
      </w:r>
      <w:r w:rsidR="00612D45" w:rsidRPr="00100122">
        <w:rPr>
          <w:rFonts w:ascii="Times New Roman" w:hAnsi="Times New Roman"/>
          <w:sz w:val="24"/>
        </w:rPr>
        <w:t xml:space="preserve"> (or</w:t>
      </w:r>
      <w:r w:rsidR="00092B98" w:rsidRPr="00100122">
        <w:rPr>
          <w:rFonts w:ascii="Times New Roman" w:hAnsi="Times New Roman"/>
          <w:sz w:val="24"/>
        </w:rPr>
        <w:t>,</w:t>
      </w:r>
      <w:r w:rsidR="00612D45" w:rsidRPr="00100122">
        <w:rPr>
          <w:rFonts w:ascii="Times New Roman" w:hAnsi="Times New Roman"/>
          <w:sz w:val="24"/>
        </w:rPr>
        <w:t xml:space="preserve"> in some cases, if)</w:t>
      </w:r>
      <w:r w:rsidR="00926123" w:rsidRPr="00100122">
        <w:rPr>
          <w:rFonts w:ascii="Times New Roman" w:hAnsi="Times New Roman"/>
          <w:sz w:val="24"/>
        </w:rPr>
        <w:t xml:space="preserve"> the millennium would unfold</w:t>
      </w:r>
      <w:r w:rsidR="00FF482B" w:rsidRPr="00100122">
        <w:rPr>
          <w:rFonts w:ascii="Times New Roman" w:hAnsi="Times New Roman"/>
          <w:sz w:val="24"/>
        </w:rPr>
        <w:t xml:space="preserve">, although they tended to express the idea that they were living in </w:t>
      </w:r>
      <w:r w:rsidR="00273395" w:rsidRPr="00100122">
        <w:rPr>
          <w:rFonts w:ascii="Times New Roman" w:hAnsi="Times New Roman"/>
          <w:sz w:val="24"/>
        </w:rPr>
        <w:t>a</w:t>
      </w:r>
      <w:r w:rsidR="00FF482B" w:rsidRPr="00100122">
        <w:rPr>
          <w:rFonts w:ascii="Times New Roman" w:hAnsi="Times New Roman"/>
          <w:sz w:val="24"/>
        </w:rPr>
        <w:t xml:space="preserve"> time that pointed either to the physical or spiritual coming of Christ</w:t>
      </w:r>
      <w:r w:rsidR="00926123" w:rsidRPr="00100122">
        <w:rPr>
          <w:rFonts w:ascii="Times New Roman" w:hAnsi="Times New Roman"/>
          <w:sz w:val="24"/>
        </w:rPr>
        <w:t>.</w:t>
      </w:r>
      <w:r w:rsidR="00926123" w:rsidRPr="00100122">
        <w:rPr>
          <w:rStyle w:val="FootnoteReference"/>
          <w:rFonts w:ascii="Times New Roman" w:hAnsi="Times New Roman"/>
          <w:sz w:val="24"/>
        </w:rPr>
        <w:footnoteReference w:id="18"/>
      </w:r>
      <w:r w:rsidR="00FF482B" w:rsidRPr="00100122">
        <w:rPr>
          <w:rFonts w:ascii="Times New Roman" w:hAnsi="Times New Roman"/>
          <w:sz w:val="24"/>
        </w:rPr>
        <w:t xml:space="preserve"> The </w:t>
      </w:r>
      <w:r w:rsidR="00273395" w:rsidRPr="00100122">
        <w:rPr>
          <w:rFonts w:ascii="Times New Roman" w:hAnsi="Times New Roman"/>
          <w:sz w:val="24"/>
        </w:rPr>
        <w:t xml:space="preserve">Fifth Monarchists, by contrast, expressed a concrete </w:t>
      </w:r>
      <w:r w:rsidR="00FF482B" w:rsidRPr="00100122">
        <w:rPr>
          <w:rFonts w:ascii="Times New Roman" w:hAnsi="Times New Roman"/>
          <w:sz w:val="24"/>
        </w:rPr>
        <w:t>pre-</w:t>
      </w:r>
      <w:r w:rsidR="00273395" w:rsidRPr="00100122">
        <w:rPr>
          <w:rFonts w:ascii="Times New Roman" w:hAnsi="Times New Roman"/>
          <w:sz w:val="24"/>
        </w:rPr>
        <w:t>millen</w:t>
      </w:r>
      <w:r w:rsidR="0076778D">
        <w:rPr>
          <w:rFonts w:ascii="Times New Roman" w:hAnsi="Times New Roman"/>
          <w:sz w:val="24"/>
        </w:rPr>
        <w:t>n</w:t>
      </w:r>
      <w:r w:rsidR="00273395" w:rsidRPr="00100122">
        <w:rPr>
          <w:rFonts w:ascii="Times New Roman" w:hAnsi="Times New Roman"/>
          <w:sz w:val="24"/>
        </w:rPr>
        <w:t>arianist belief</w:t>
      </w:r>
      <w:r w:rsidR="00FF482B" w:rsidRPr="00100122">
        <w:rPr>
          <w:rFonts w:ascii="Times New Roman" w:hAnsi="Times New Roman"/>
          <w:sz w:val="24"/>
        </w:rPr>
        <w:t xml:space="preserve"> they were living in the last days before </w:t>
      </w:r>
      <w:r w:rsidR="008D120C">
        <w:rPr>
          <w:rFonts w:ascii="Times New Roman" w:hAnsi="Times New Roman"/>
          <w:sz w:val="24"/>
        </w:rPr>
        <w:t xml:space="preserve">Christ’s arrival </w:t>
      </w:r>
      <w:r w:rsidR="00612D45" w:rsidRPr="00100122">
        <w:rPr>
          <w:rFonts w:ascii="Times New Roman" w:hAnsi="Times New Roman"/>
          <w:sz w:val="24"/>
        </w:rPr>
        <w:t xml:space="preserve">to preside over his </w:t>
      </w:r>
      <w:r w:rsidR="00D560D7" w:rsidRPr="00100122">
        <w:rPr>
          <w:rFonts w:ascii="Times New Roman" w:hAnsi="Times New Roman"/>
          <w:sz w:val="24"/>
        </w:rPr>
        <w:t xml:space="preserve">physical </w:t>
      </w:r>
      <w:r w:rsidR="00612D45" w:rsidRPr="00100122">
        <w:rPr>
          <w:rFonts w:ascii="Times New Roman" w:hAnsi="Times New Roman"/>
          <w:sz w:val="24"/>
        </w:rPr>
        <w:t>kingdom</w:t>
      </w:r>
      <w:r w:rsidR="00273395" w:rsidRPr="00100122">
        <w:rPr>
          <w:rFonts w:ascii="Times New Roman" w:hAnsi="Times New Roman"/>
          <w:sz w:val="24"/>
        </w:rPr>
        <w:t xml:space="preserve"> of elect</w:t>
      </w:r>
      <w:r w:rsidR="00612D45" w:rsidRPr="00100122">
        <w:rPr>
          <w:rFonts w:ascii="Times New Roman" w:hAnsi="Times New Roman"/>
          <w:sz w:val="24"/>
        </w:rPr>
        <w:t xml:space="preserve"> </w:t>
      </w:r>
      <w:r w:rsidR="00251BFD" w:rsidRPr="00100122">
        <w:rPr>
          <w:rFonts w:ascii="Times New Roman" w:hAnsi="Times New Roman"/>
          <w:sz w:val="24"/>
        </w:rPr>
        <w:t xml:space="preserve">saints </w:t>
      </w:r>
      <w:r w:rsidR="00612D45" w:rsidRPr="00100122">
        <w:rPr>
          <w:rFonts w:ascii="Times New Roman" w:hAnsi="Times New Roman"/>
          <w:sz w:val="24"/>
        </w:rPr>
        <w:t>on earth.</w:t>
      </w:r>
      <w:r w:rsidR="00926123" w:rsidRPr="00100122">
        <w:rPr>
          <w:rFonts w:ascii="Times New Roman" w:hAnsi="Times New Roman"/>
          <w:sz w:val="24"/>
        </w:rPr>
        <w:t xml:space="preserve"> </w:t>
      </w:r>
      <w:r w:rsidR="00612D45" w:rsidRPr="00100122">
        <w:rPr>
          <w:rFonts w:ascii="Times New Roman" w:hAnsi="Times New Roman"/>
          <w:sz w:val="24"/>
        </w:rPr>
        <w:t>Within this range of beliefs, however, all shared an understanding that</w:t>
      </w:r>
      <w:r w:rsidR="00D560D7" w:rsidRPr="00100122">
        <w:rPr>
          <w:rFonts w:ascii="Times New Roman" w:hAnsi="Times New Roman"/>
          <w:sz w:val="24"/>
        </w:rPr>
        <w:t xml:space="preserve"> they</w:t>
      </w:r>
      <w:r w:rsidR="00926123" w:rsidRPr="00100122">
        <w:rPr>
          <w:rFonts w:ascii="Times New Roman" w:hAnsi="Times New Roman"/>
          <w:sz w:val="24"/>
        </w:rPr>
        <w:t xml:space="preserve"> were living in the last days</w:t>
      </w:r>
      <w:r w:rsidR="00251BFD" w:rsidRPr="00100122">
        <w:rPr>
          <w:rFonts w:ascii="Times New Roman" w:hAnsi="Times New Roman"/>
          <w:sz w:val="24"/>
        </w:rPr>
        <w:t>, and</w:t>
      </w:r>
      <w:r w:rsidR="000B2864" w:rsidRPr="00100122">
        <w:rPr>
          <w:rFonts w:ascii="Times New Roman" w:hAnsi="Times New Roman"/>
          <w:sz w:val="24"/>
        </w:rPr>
        <w:t xml:space="preserve"> they sought to figure out wh</w:t>
      </w:r>
      <w:r w:rsidR="00997C8A" w:rsidRPr="00100122">
        <w:rPr>
          <w:rFonts w:ascii="Times New Roman" w:hAnsi="Times New Roman"/>
          <w:sz w:val="24"/>
        </w:rPr>
        <w:t xml:space="preserve">o comprised the elect. The relationship of the nation to election was important to many of these prophets, who engaged in discourse that created a tension between </w:t>
      </w:r>
      <w:r w:rsidR="00CD70B6" w:rsidRPr="00100122">
        <w:rPr>
          <w:rFonts w:ascii="Times New Roman" w:hAnsi="Times New Roman"/>
          <w:sz w:val="24"/>
        </w:rPr>
        <w:t xml:space="preserve">the idea of </w:t>
      </w:r>
      <w:r w:rsidR="00997C8A" w:rsidRPr="00100122">
        <w:rPr>
          <w:rFonts w:ascii="Times New Roman" w:hAnsi="Times New Roman"/>
          <w:sz w:val="24"/>
        </w:rPr>
        <w:t xml:space="preserve">England as an elect nation and </w:t>
      </w:r>
      <w:r w:rsidR="00CD70B6" w:rsidRPr="00100122">
        <w:rPr>
          <w:rFonts w:ascii="Times New Roman" w:hAnsi="Times New Roman"/>
          <w:sz w:val="24"/>
        </w:rPr>
        <w:t xml:space="preserve">the idea of </w:t>
      </w:r>
      <w:r w:rsidR="00997C8A" w:rsidRPr="00100122">
        <w:rPr>
          <w:rFonts w:ascii="Times New Roman" w:hAnsi="Times New Roman"/>
          <w:sz w:val="24"/>
        </w:rPr>
        <w:t>a remnant of</w:t>
      </w:r>
      <w:r w:rsidR="00CD70B6" w:rsidRPr="00100122">
        <w:rPr>
          <w:rFonts w:ascii="Times New Roman" w:hAnsi="Times New Roman"/>
          <w:sz w:val="24"/>
        </w:rPr>
        <w:t xml:space="preserve"> </w:t>
      </w:r>
      <w:r w:rsidR="00092B98" w:rsidRPr="00100122">
        <w:rPr>
          <w:rFonts w:ascii="Times New Roman" w:hAnsi="Times New Roman"/>
          <w:sz w:val="24"/>
        </w:rPr>
        <w:t>true</w:t>
      </w:r>
      <w:r w:rsidR="00997C8A" w:rsidRPr="00100122">
        <w:rPr>
          <w:rFonts w:ascii="Times New Roman" w:hAnsi="Times New Roman"/>
          <w:sz w:val="24"/>
        </w:rPr>
        <w:t xml:space="preserve"> believers living in a corrupt England.</w:t>
      </w:r>
    </w:p>
    <w:p w:rsidR="00FE01AD" w:rsidRPr="00100122" w:rsidRDefault="00273395" w:rsidP="00957BF0">
      <w:pPr>
        <w:spacing w:line="480" w:lineRule="auto"/>
        <w:ind w:firstLine="720"/>
        <w:rPr>
          <w:rFonts w:ascii="Times New Roman" w:hAnsi="Times New Roman"/>
          <w:sz w:val="24"/>
        </w:rPr>
      </w:pPr>
      <w:r w:rsidRPr="00100122">
        <w:rPr>
          <w:rFonts w:ascii="Times New Roman" w:hAnsi="Times New Roman"/>
          <w:sz w:val="24"/>
        </w:rPr>
        <w:t>D</w:t>
      </w:r>
      <w:r w:rsidR="00957BF0" w:rsidRPr="00100122">
        <w:rPr>
          <w:rFonts w:ascii="Times New Roman" w:hAnsi="Times New Roman"/>
          <w:sz w:val="24"/>
        </w:rPr>
        <w:t>issenters</w:t>
      </w:r>
      <w:r w:rsidR="00AB749A" w:rsidRPr="00100122">
        <w:rPr>
          <w:rFonts w:ascii="Times New Roman" w:hAnsi="Times New Roman"/>
          <w:sz w:val="24"/>
        </w:rPr>
        <w:t xml:space="preserve"> in this second category</w:t>
      </w:r>
      <w:r w:rsidR="00DD6E8E" w:rsidRPr="00100122">
        <w:rPr>
          <w:rFonts w:ascii="Times New Roman" w:hAnsi="Times New Roman"/>
          <w:sz w:val="24"/>
        </w:rPr>
        <w:t xml:space="preserve"> </w:t>
      </w:r>
      <w:r w:rsidR="00FE01AD" w:rsidRPr="00100122">
        <w:rPr>
          <w:rFonts w:ascii="Times New Roman" w:hAnsi="Times New Roman"/>
          <w:sz w:val="24"/>
        </w:rPr>
        <w:t xml:space="preserve">interpreted </w:t>
      </w:r>
      <w:r w:rsidR="00612D45" w:rsidRPr="00100122">
        <w:rPr>
          <w:rFonts w:ascii="Times New Roman" w:hAnsi="Times New Roman"/>
          <w:sz w:val="24"/>
        </w:rPr>
        <w:t>both Joel 2:28-9</w:t>
      </w:r>
      <w:r w:rsidR="00FE01AD" w:rsidRPr="00100122">
        <w:rPr>
          <w:rFonts w:ascii="Times New Roman" w:hAnsi="Times New Roman"/>
          <w:sz w:val="24"/>
        </w:rPr>
        <w:t xml:space="preserve"> </w:t>
      </w:r>
      <w:r w:rsidR="00D560D7" w:rsidRPr="00100122">
        <w:rPr>
          <w:rFonts w:ascii="Times New Roman" w:hAnsi="Times New Roman"/>
          <w:sz w:val="24"/>
        </w:rPr>
        <w:t xml:space="preserve">(“your sons and your daughters shall prophesy…and also upon the servants and upon the handmaids in those </w:t>
      </w:r>
      <w:r w:rsidR="00251BFD" w:rsidRPr="00100122">
        <w:rPr>
          <w:rFonts w:ascii="Times New Roman" w:hAnsi="Times New Roman"/>
          <w:sz w:val="24"/>
        </w:rPr>
        <w:t>days will I pour out my spirit</w:t>
      </w:r>
      <w:r w:rsidR="00D560D7" w:rsidRPr="00100122">
        <w:rPr>
          <w:rFonts w:ascii="Times New Roman" w:hAnsi="Times New Roman"/>
          <w:sz w:val="24"/>
        </w:rPr>
        <w:t>,</w:t>
      </w:r>
      <w:r w:rsidR="00251BFD" w:rsidRPr="00100122">
        <w:rPr>
          <w:rFonts w:ascii="Times New Roman" w:hAnsi="Times New Roman"/>
          <w:sz w:val="24"/>
        </w:rPr>
        <w:t>”</w:t>
      </w:r>
      <w:r w:rsidR="00D560D7" w:rsidRPr="00100122">
        <w:rPr>
          <w:rFonts w:ascii="Times New Roman" w:hAnsi="Times New Roman"/>
          <w:sz w:val="24"/>
        </w:rPr>
        <w:t xml:space="preserve"> cf. Acts 2:17-8) </w:t>
      </w:r>
      <w:r w:rsidR="00FE01AD" w:rsidRPr="00100122">
        <w:rPr>
          <w:rFonts w:ascii="Times New Roman" w:hAnsi="Times New Roman"/>
          <w:sz w:val="24"/>
        </w:rPr>
        <w:t>and Galatians 3:28 in the context of an eradication of social distinction—</w:t>
      </w:r>
      <w:r w:rsidR="00612D45" w:rsidRPr="00100122">
        <w:rPr>
          <w:rFonts w:ascii="Times New Roman" w:hAnsi="Times New Roman"/>
          <w:sz w:val="24"/>
        </w:rPr>
        <w:t xml:space="preserve">one </w:t>
      </w:r>
      <w:r w:rsidR="00FE01AD" w:rsidRPr="00100122">
        <w:rPr>
          <w:rFonts w:ascii="Times New Roman" w:hAnsi="Times New Roman"/>
          <w:sz w:val="24"/>
        </w:rPr>
        <w:t>that included gender.</w:t>
      </w:r>
      <w:r w:rsidR="00957BF0" w:rsidRPr="00100122">
        <w:rPr>
          <w:rFonts w:ascii="Times New Roman" w:hAnsi="Times New Roman"/>
          <w:sz w:val="24"/>
        </w:rPr>
        <w:t xml:space="preserve"> </w:t>
      </w:r>
      <w:r w:rsidR="003B22B9" w:rsidRPr="00100122">
        <w:rPr>
          <w:rFonts w:ascii="Times New Roman" w:hAnsi="Times New Roman"/>
          <w:sz w:val="24"/>
        </w:rPr>
        <w:t xml:space="preserve">These groups </w:t>
      </w:r>
      <w:r w:rsidR="00957BF0" w:rsidRPr="00100122">
        <w:rPr>
          <w:rFonts w:ascii="Times New Roman" w:hAnsi="Times New Roman"/>
          <w:sz w:val="24"/>
        </w:rPr>
        <w:t xml:space="preserve">thus </w:t>
      </w:r>
      <w:r w:rsidR="003B22B9" w:rsidRPr="00100122">
        <w:rPr>
          <w:rFonts w:ascii="Times New Roman" w:hAnsi="Times New Roman"/>
          <w:sz w:val="24"/>
        </w:rPr>
        <w:t>recognized</w:t>
      </w:r>
      <w:r w:rsidR="006B1613" w:rsidRPr="00100122">
        <w:rPr>
          <w:rFonts w:ascii="Times New Roman" w:hAnsi="Times New Roman"/>
          <w:sz w:val="24"/>
        </w:rPr>
        <w:t xml:space="preserve"> women </w:t>
      </w:r>
      <w:r w:rsidR="00B63031" w:rsidRPr="00100122">
        <w:rPr>
          <w:rFonts w:ascii="Times New Roman" w:hAnsi="Times New Roman"/>
          <w:sz w:val="24"/>
        </w:rPr>
        <w:t xml:space="preserve">as </w:t>
      </w:r>
      <w:r w:rsidR="006B1613" w:rsidRPr="00100122">
        <w:rPr>
          <w:rFonts w:ascii="Times New Roman" w:hAnsi="Times New Roman"/>
          <w:sz w:val="24"/>
        </w:rPr>
        <w:t xml:space="preserve">prophets, but </w:t>
      </w:r>
      <w:r w:rsidR="003B22B9" w:rsidRPr="00100122">
        <w:rPr>
          <w:rFonts w:ascii="Times New Roman" w:hAnsi="Times New Roman"/>
          <w:sz w:val="24"/>
        </w:rPr>
        <w:t>women</w:t>
      </w:r>
      <w:r w:rsidR="006B1613" w:rsidRPr="00100122">
        <w:rPr>
          <w:rFonts w:ascii="Times New Roman" w:hAnsi="Times New Roman"/>
          <w:sz w:val="24"/>
        </w:rPr>
        <w:t xml:space="preserve"> </w:t>
      </w:r>
      <w:r w:rsidR="00DC0068" w:rsidRPr="00100122">
        <w:rPr>
          <w:rFonts w:ascii="Times New Roman" w:hAnsi="Times New Roman"/>
          <w:sz w:val="24"/>
        </w:rPr>
        <w:t xml:space="preserve">tended not have </w:t>
      </w:r>
      <w:r w:rsidR="006B1613" w:rsidRPr="00100122">
        <w:rPr>
          <w:rFonts w:ascii="Times New Roman" w:hAnsi="Times New Roman"/>
          <w:sz w:val="24"/>
        </w:rPr>
        <w:t>specifically gendered</w:t>
      </w:r>
      <w:r w:rsidR="00DC0068" w:rsidRPr="00100122">
        <w:rPr>
          <w:rFonts w:ascii="Times New Roman" w:hAnsi="Times New Roman"/>
          <w:sz w:val="24"/>
        </w:rPr>
        <w:t xml:space="preserve"> religious</w:t>
      </w:r>
      <w:r w:rsidR="006B1613" w:rsidRPr="00100122">
        <w:rPr>
          <w:rFonts w:ascii="Times New Roman" w:hAnsi="Times New Roman"/>
          <w:sz w:val="24"/>
        </w:rPr>
        <w:t xml:space="preserve"> role</w:t>
      </w:r>
      <w:r w:rsidR="00DC0068" w:rsidRPr="00100122">
        <w:rPr>
          <w:rFonts w:ascii="Times New Roman" w:hAnsi="Times New Roman"/>
          <w:sz w:val="24"/>
        </w:rPr>
        <w:t>s</w:t>
      </w:r>
      <w:r w:rsidR="006B1613" w:rsidRPr="00100122">
        <w:rPr>
          <w:rFonts w:ascii="Times New Roman" w:hAnsi="Times New Roman"/>
          <w:sz w:val="24"/>
        </w:rPr>
        <w:t xml:space="preserve"> within their religious communities. </w:t>
      </w:r>
      <w:r w:rsidR="00DC0068" w:rsidRPr="00100122">
        <w:rPr>
          <w:rFonts w:ascii="Times New Roman" w:hAnsi="Times New Roman"/>
          <w:sz w:val="24"/>
        </w:rPr>
        <w:t xml:space="preserve">Among the Quakers, for example, women had full participation in </w:t>
      </w:r>
      <w:r w:rsidR="000757A2" w:rsidRPr="00100122">
        <w:rPr>
          <w:rFonts w:ascii="Times New Roman" w:hAnsi="Times New Roman"/>
          <w:sz w:val="24"/>
        </w:rPr>
        <w:t>public</w:t>
      </w:r>
      <w:r w:rsidR="00DC0068" w:rsidRPr="00100122">
        <w:rPr>
          <w:rFonts w:ascii="Times New Roman" w:hAnsi="Times New Roman"/>
          <w:sz w:val="24"/>
        </w:rPr>
        <w:t xml:space="preserve"> religious life. They s</w:t>
      </w:r>
      <w:r w:rsidR="00B63031" w:rsidRPr="00100122">
        <w:rPr>
          <w:rFonts w:ascii="Times New Roman" w:hAnsi="Times New Roman"/>
          <w:sz w:val="24"/>
        </w:rPr>
        <w:t xml:space="preserve">poke </w:t>
      </w:r>
      <w:r w:rsidR="00DC0068" w:rsidRPr="00100122">
        <w:rPr>
          <w:rFonts w:ascii="Times New Roman" w:hAnsi="Times New Roman"/>
          <w:sz w:val="24"/>
        </w:rPr>
        <w:t>in meetings when led by the Spirit</w:t>
      </w:r>
      <w:r w:rsidR="00B63031" w:rsidRPr="00100122">
        <w:rPr>
          <w:rFonts w:ascii="Times New Roman" w:hAnsi="Times New Roman"/>
          <w:sz w:val="24"/>
        </w:rPr>
        <w:t>,</w:t>
      </w:r>
      <w:r w:rsidR="00DC0068" w:rsidRPr="00100122">
        <w:rPr>
          <w:rFonts w:ascii="Times New Roman" w:hAnsi="Times New Roman"/>
          <w:sz w:val="24"/>
        </w:rPr>
        <w:t xml:space="preserve"> and they traveled as missionaries</w:t>
      </w:r>
      <w:r w:rsidR="00B63031" w:rsidRPr="00100122">
        <w:rPr>
          <w:rFonts w:ascii="Times New Roman" w:hAnsi="Times New Roman"/>
          <w:sz w:val="24"/>
        </w:rPr>
        <w:t>.</w:t>
      </w:r>
      <w:r w:rsidR="000757A2" w:rsidRPr="00100122">
        <w:rPr>
          <w:rFonts w:ascii="Times New Roman" w:hAnsi="Times New Roman"/>
          <w:sz w:val="24"/>
        </w:rPr>
        <w:t xml:space="preserve"> But they—and their Quaker audiences—recognized </w:t>
      </w:r>
      <w:r w:rsidR="00CD70B6" w:rsidRPr="00100122">
        <w:rPr>
          <w:rFonts w:ascii="Times New Roman" w:hAnsi="Times New Roman"/>
          <w:sz w:val="24"/>
        </w:rPr>
        <w:t>women as</w:t>
      </w:r>
      <w:r w:rsidR="000757A2" w:rsidRPr="00100122">
        <w:rPr>
          <w:rFonts w:ascii="Times New Roman" w:hAnsi="Times New Roman"/>
          <w:sz w:val="24"/>
        </w:rPr>
        <w:t xml:space="preserve"> prophets</w:t>
      </w:r>
      <w:r w:rsidR="00EA34D7" w:rsidRPr="00100122">
        <w:rPr>
          <w:rFonts w:ascii="Times New Roman" w:hAnsi="Times New Roman"/>
          <w:sz w:val="24"/>
        </w:rPr>
        <w:t xml:space="preserve"> </w:t>
      </w:r>
      <w:r w:rsidR="000757A2" w:rsidRPr="00100122">
        <w:rPr>
          <w:rFonts w:ascii="Times New Roman" w:hAnsi="Times New Roman"/>
          <w:sz w:val="24"/>
        </w:rPr>
        <w:t>due to</w:t>
      </w:r>
      <w:r w:rsidR="00EA34D7" w:rsidRPr="00100122">
        <w:rPr>
          <w:rFonts w:ascii="Times New Roman" w:hAnsi="Times New Roman"/>
          <w:sz w:val="24"/>
        </w:rPr>
        <w:t xml:space="preserve"> the belief that there was neither male nor female in Christ</w:t>
      </w:r>
      <w:r w:rsidR="00E11B35" w:rsidRPr="00100122">
        <w:rPr>
          <w:rFonts w:ascii="Times New Roman" w:hAnsi="Times New Roman"/>
          <w:sz w:val="24"/>
        </w:rPr>
        <w:t xml:space="preserve"> and that </w:t>
      </w:r>
      <w:r w:rsidR="00B37542" w:rsidRPr="00100122">
        <w:rPr>
          <w:rFonts w:ascii="Times New Roman" w:hAnsi="Times New Roman"/>
          <w:sz w:val="24"/>
        </w:rPr>
        <w:t xml:space="preserve">they were living </w:t>
      </w:r>
      <w:r w:rsidR="00D560D7" w:rsidRPr="00100122">
        <w:rPr>
          <w:rFonts w:ascii="Times New Roman" w:hAnsi="Times New Roman"/>
          <w:sz w:val="24"/>
        </w:rPr>
        <w:t xml:space="preserve">in </w:t>
      </w:r>
      <w:r w:rsidR="007E18C3" w:rsidRPr="00100122">
        <w:rPr>
          <w:rFonts w:ascii="Times New Roman" w:hAnsi="Times New Roman"/>
          <w:sz w:val="24"/>
        </w:rPr>
        <w:t>a time</w:t>
      </w:r>
      <w:r w:rsidR="00D560D7" w:rsidRPr="00100122">
        <w:rPr>
          <w:rFonts w:ascii="Times New Roman" w:hAnsi="Times New Roman"/>
          <w:sz w:val="24"/>
        </w:rPr>
        <w:t xml:space="preserve"> of heightened eschatological </w:t>
      </w:r>
      <w:r w:rsidR="00092B98" w:rsidRPr="00100122">
        <w:rPr>
          <w:rFonts w:ascii="Times New Roman" w:hAnsi="Times New Roman"/>
          <w:sz w:val="24"/>
        </w:rPr>
        <w:t>significance</w:t>
      </w:r>
      <w:r w:rsidR="00EA34D7" w:rsidRPr="00100122">
        <w:rPr>
          <w:rFonts w:ascii="Times New Roman" w:hAnsi="Times New Roman"/>
          <w:sz w:val="24"/>
        </w:rPr>
        <w:t xml:space="preserve">, </w:t>
      </w:r>
      <w:r w:rsidR="000757A2" w:rsidRPr="00100122">
        <w:rPr>
          <w:rFonts w:ascii="Times New Roman" w:hAnsi="Times New Roman"/>
          <w:sz w:val="24"/>
        </w:rPr>
        <w:t>rather than</w:t>
      </w:r>
      <w:r w:rsidR="00EA34D7" w:rsidRPr="00100122">
        <w:rPr>
          <w:rFonts w:ascii="Times New Roman" w:hAnsi="Times New Roman"/>
          <w:sz w:val="24"/>
        </w:rPr>
        <w:t xml:space="preserve"> the belief that prophetic women had special </w:t>
      </w:r>
      <w:r w:rsidR="00D560D7" w:rsidRPr="00100122">
        <w:rPr>
          <w:rFonts w:ascii="Times New Roman" w:hAnsi="Times New Roman"/>
          <w:sz w:val="24"/>
        </w:rPr>
        <w:t>millenarian roles</w:t>
      </w:r>
      <w:r w:rsidR="00B37542" w:rsidRPr="00100122">
        <w:rPr>
          <w:rFonts w:ascii="Times New Roman" w:hAnsi="Times New Roman"/>
          <w:sz w:val="24"/>
        </w:rPr>
        <w:t xml:space="preserve"> </w:t>
      </w:r>
      <w:r w:rsidR="00EA34D7" w:rsidRPr="00100122">
        <w:rPr>
          <w:rFonts w:ascii="Times New Roman" w:hAnsi="Times New Roman"/>
          <w:sz w:val="24"/>
        </w:rPr>
        <w:t>based on their gender.</w:t>
      </w:r>
      <w:r w:rsidR="000757A2" w:rsidRPr="00100122">
        <w:rPr>
          <w:rFonts w:ascii="Times New Roman" w:hAnsi="Times New Roman"/>
          <w:sz w:val="24"/>
        </w:rPr>
        <w:t xml:space="preserve"> </w:t>
      </w:r>
      <w:r w:rsidR="00AF18E0" w:rsidRPr="00100122">
        <w:rPr>
          <w:rFonts w:ascii="Times New Roman" w:hAnsi="Times New Roman"/>
          <w:sz w:val="24"/>
        </w:rPr>
        <w:t xml:space="preserve"> </w:t>
      </w:r>
    </w:p>
    <w:p w:rsidR="001E3D8D" w:rsidRPr="00100122" w:rsidRDefault="000757A2" w:rsidP="003B22B9">
      <w:pPr>
        <w:spacing w:line="480" w:lineRule="auto"/>
        <w:ind w:firstLine="720"/>
        <w:rPr>
          <w:rFonts w:ascii="Times New Roman" w:hAnsi="Times New Roman"/>
          <w:sz w:val="24"/>
        </w:rPr>
      </w:pPr>
      <w:r w:rsidRPr="00100122">
        <w:rPr>
          <w:rFonts w:ascii="Times New Roman" w:hAnsi="Times New Roman"/>
          <w:sz w:val="24"/>
        </w:rPr>
        <w:t>Prophets</w:t>
      </w:r>
      <w:r w:rsidR="00EA34D7" w:rsidRPr="00100122">
        <w:rPr>
          <w:rFonts w:ascii="Times New Roman" w:hAnsi="Times New Roman"/>
          <w:sz w:val="24"/>
        </w:rPr>
        <w:t xml:space="preserve"> who followed this</w:t>
      </w:r>
      <w:r w:rsidR="00B37542" w:rsidRPr="00100122">
        <w:rPr>
          <w:rFonts w:ascii="Times New Roman" w:hAnsi="Times New Roman"/>
          <w:sz w:val="24"/>
        </w:rPr>
        <w:t xml:space="preserve"> second</w:t>
      </w:r>
      <w:r w:rsidR="00EA34D7" w:rsidRPr="00100122">
        <w:rPr>
          <w:rFonts w:ascii="Times New Roman" w:hAnsi="Times New Roman"/>
          <w:sz w:val="24"/>
        </w:rPr>
        <w:t xml:space="preserve"> model tended to have less of an individualized prophetic identity than their Behmenist counterparts.</w:t>
      </w:r>
      <w:r w:rsidR="00EA34D7" w:rsidRPr="00100122">
        <w:rPr>
          <w:rStyle w:val="FootnoteReference"/>
          <w:rFonts w:ascii="Times New Roman" w:hAnsi="Times New Roman"/>
          <w:sz w:val="24"/>
        </w:rPr>
        <w:footnoteReference w:id="19"/>
      </w:r>
      <w:r w:rsidR="00B63031" w:rsidRPr="00100122">
        <w:rPr>
          <w:rFonts w:ascii="Times New Roman" w:hAnsi="Times New Roman"/>
          <w:sz w:val="24"/>
        </w:rPr>
        <w:t xml:space="preserve"> </w:t>
      </w:r>
      <w:r w:rsidR="006B1613" w:rsidRPr="00100122">
        <w:rPr>
          <w:rFonts w:ascii="Times New Roman" w:hAnsi="Times New Roman"/>
          <w:sz w:val="24"/>
        </w:rPr>
        <w:t xml:space="preserve">Quaker women, </w:t>
      </w:r>
      <w:r w:rsidR="00EA34D7" w:rsidRPr="00100122">
        <w:rPr>
          <w:rFonts w:ascii="Times New Roman" w:hAnsi="Times New Roman"/>
          <w:sz w:val="24"/>
        </w:rPr>
        <w:t>for example</w:t>
      </w:r>
      <w:r w:rsidR="006B1613" w:rsidRPr="00100122">
        <w:rPr>
          <w:rFonts w:ascii="Times New Roman" w:hAnsi="Times New Roman"/>
          <w:sz w:val="24"/>
        </w:rPr>
        <w:t>, prophesied as individuals in the sense that they spoke and wrote as the Spirit led them. However, they prophesied as part of a group in the sense that they represented broader Quaker principl</w:t>
      </w:r>
      <w:r w:rsidR="001E3D8D" w:rsidRPr="00100122">
        <w:rPr>
          <w:rFonts w:ascii="Times New Roman" w:hAnsi="Times New Roman"/>
          <w:sz w:val="24"/>
        </w:rPr>
        <w:t>es and ideas in their prophecy.</w:t>
      </w:r>
      <w:r w:rsidR="00EA34D7" w:rsidRPr="00100122">
        <w:rPr>
          <w:rFonts w:ascii="Times New Roman" w:hAnsi="Times New Roman"/>
          <w:sz w:val="24"/>
        </w:rPr>
        <w:t xml:space="preserve"> Unlike </w:t>
      </w:r>
      <w:r w:rsidR="00251BFD" w:rsidRPr="00100122">
        <w:rPr>
          <w:rFonts w:ascii="Times New Roman" w:hAnsi="Times New Roman"/>
          <w:sz w:val="24"/>
        </w:rPr>
        <w:t>Rosamund</w:t>
      </w:r>
      <w:r w:rsidR="0076778D">
        <w:rPr>
          <w:rFonts w:ascii="Times New Roman" w:hAnsi="Times New Roman"/>
          <w:sz w:val="24"/>
        </w:rPr>
        <w:t>e</w:t>
      </w:r>
      <w:r w:rsidR="00251BFD" w:rsidRPr="00100122">
        <w:rPr>
          <w:rFonts w:ascii="Times New Roman" w:hAnsi="Times New Roman"/>
          <w:sz w:val="24"/>
        </w:rPr>
        <w:t xml:space="preserve"> von Asseburg</w:t>
      </w:r>
      <w:r w:rsidR="00EA34D7" w:rsidRPr="00100122">
        <w:rPr>
          <w:rFonts w:ascii="Times New Roman" w:hAnsi="Times New Roman"/>
          <w:sz w:val="24"/>
        </w:rPr>
        <w:t xml:space="preserve"> or Jane Lead,</w:t>
      </w:r>
      <w:r w:rsidR="00E11B35" w:rsidRPr="00100122">
        <w:rPr>
          <w:rFonts w:ascii="Times New Roman" w:hAnsi="Times New Roman"/>
          <w:sz w:val="24"/>
        </w:rPr>
        <w:t xml:space="preserve"> Quaker women did not attract </w:t>
      </w:r>
      <w:r w:rsidR="00251BFD" w:rsidRPr="00100122">
        <w:rPr>
          <w:rFonts w:ascii="Times New Roman" w:hAnsi="Times New Roman"/>
          <w:sz w:val="24"/>
        </w:rPr>
        <w:t>a following</w:t>
      </w:r>
      <w:r w:rsidR="00E11B35" w:rsidRPr="00100122">
        <w:rPr>
          <w:rFonts w:ascii="Times New Roman" w:hAnsi="Times New Roman"/>
          <w:sz w:val="24"/>
        </w:rPr>
        <w:t>; nor</w:t>
      </w:r>
      <w:r w:rsidR="00EA34D7" w:rsidRPr="00100122">
        <w:rPr>
          <w:rFonts w:ascii="Times New Roman" w:hAnsi="Times New Roman"/>
          <w:sz w:val="24"/>
        </w:rPr>
        <w:t xml:space="preserve"> </w:t>
      </w:r>
      <w:r w:rsidR="00E11B35" w:rsidRPr="00100122">
        <w:rPr>
          <w:rFonts w:ascii="Times New Roman" w:hAnsi="Times New Roman"/>
          <w:sz w:val="24"/>
        </w:rPr>
        <w:t xml:space="preserve">did they </w:t>
      </w:r>
      <w:r w:rsidR="00EA34D7" w:rsidRPr="00100122">
        <w:rPr>
          <w:rFonts w:ascii="Times New Roman" w:hAnsi="Times New Roman"/>
          <w:sz w:val="24"/>
        </w:rPr>
        <w:t>form their own communities</w:t>
      </w:r>
      <w:r w:rsidR="00E11B35" w:rsidRPr="00100122">
        <w:rPr>
          <w:rFonts w:ascii="Times New Roman" w:hAnsi="Times New Roman"/>
          <w:sz w:val="24"/>
        </w:rPr>
        <w:t xml:space="preserve"> like Antoinette Bourignon</w:t>
      </w:r>
      <w:r w:rsidR="00EA34D7" w:rsidRPr="00100122">
        <w:rPr>
          <w:rFonts w:ascii="Times New Roman" w:hAnsi="Times New Roman"/>
          <w:sz w:val="24"/>
        </w:rPr>
        <w:t>.</w:t>
      </w:r>
    </w:p>
    <w:p w:rsidR="00D82B06" w:rsidRPr="00100122" w:rsidRDefault="00957BF0" w:rsidP="00937624">
      <w:pPr>
        <w:spacing w:line="480" w:lineRule="auto"/>
        <w:ind w:firstLine="720"/>
        <w:rPr>
          <w:rFonts w:ascii="Times New Roman" w:hAnsi="Times New Roman"/>
          <w:sz w:val="24"/>
        </w:rPr>
      </w:pPr>
      <w:r w:rsidRPr="00100122">
        <w:rPr>
          <w:rFonts w:ascii="Times New Roman" w:hAnsi="Times New Roman"/>
          <w:sz w:val="24"/>
        </w:rPr>
        <w:t xml:space="preserve">The French Prophets </w:t>
      </w:r>
      <w:r w:rsidR="00E11B35" w:rsidRPr="00100122">
        <w:rPr>
          <w:rFonts w:ascii="Times New Roman" w:hAnsi="Times New Roman"/>
          <w:sz w:val="24"/>
        </w:rPr>
        <w:t>represent</w:t>
      </w:r>
      <w:r w:rsidRPr="00100122">
        <w:rPr>
          <w:rFonts w:ascii="Times New Roman" w:hAnsi="Times New Roman"/>
          <w:sz w:val="24"/>
        </w:rPr>
        <w:t xml:space="preserve"> a third category</w:t>
      </w:r>
      <w:r w:rsidR="00B37542" w:rsidRPr="00100122">
        <w:rPr>
          <w:rFonts w:ascii="Times New Roman" w:hAnsi="Times New Roman"/>
          <w:sz w:val="24"/>
        </w:rPr>
        <w:t xml:space="preserve"> of prophecy</w:t>
      </w:r>
      <w:r w:rsidR="005D405A" w:rsidRPr="00100122">
        <w:rPr>
          <w:rFonts w:ascii="Times New Roman" w:hAnsi="Times New Roman"/>
          <w:sz w:val="24"/>
        </w:rPr>
        <w:t>. Like some of the prophets of the Civil Wars</w:t>
      </w:r>
      <w:r w:rsidR="00B37542" w:rsidRPr="00100122">
        <w:rPr>
          <w:rFonts w:ascii="Times New Roman" w:hAnsi="Times New Roman"/>
          <w:sz w:val="24"/>
        </w:rPr>
        <w:t xml:space="preserve">, they spread a message </w:t>
      </w:r>
      <w:r w:rsidR="00D560D7" w:rsidRPr="00100122">
        <w:rPr>
          <w:rFonts w:ascii="Times New Roman" w:hAnsi="Times New Roman"/>
          <w:sz w:val="24"/>
        </w:rPr>
        <w:t xml:space="preserve">that called for repentance and </w:t>
      </w:r>
      <w:r w:rsidR="00251BFD" w:rsidRPr="00100122">
        <w:rPr>
          <w:rFonts w:ascii="Times New Roman" w:hAnsi="Times New Roman"/>
          <w:sz w:val="24"/>
        </w:rPr>
        <w:t xml:space="preserve">for </w:t>
      </w:r>
      <w:r w:rsidR="00D560D7" w:rsidRPr="00100122">
        <w:rPr>
          <w:rFonts w:ascii="Times New Roman" w:hAnsi="Times New Roman"/>
          <w:sz w:val="24"/>
        </w:rPr>
        <w:t>the</w:t>
      </w:r>
      <w:r w:rsidR="00B37542" w:rsidRPr="00100122">
        <w:rPr>
          <w:rFonts w:ascii="Times New Roman" w:hAnsi="Times New Roman"/>
          <w:sz w:val="24"/>
        </w:rPr>
        <w:t xml:space="preserve"> recognition that judgment and the Kingdom were impending.</w:t>
      </w:r>
      <w:r w:rsidR="00B37542" w:rsidRPr="00100122">
        <w:rPr>
          <w:rStyle w:val="FootnoteReference"/>
          <w:rFonts w:ascii="Times New Roman" w:hAnsi="Times New Roman"/>
          <w:sz w:val="24"/>
        </w:rPr>
        <w:footnoteReference w:id="20"/>
      </w:r>
      <w:r w:rsidR="00B37542" w:rsidRPr="00100122">
        <w:rPr>
          <w:rFonts w:ascii="Times New Roman" w:hAnsi="Times New Roman"/>
          <w:sz w:val="24"/>
        </w:rPr>
        <w:t xml:space="preserve"> </w:t>
      </w:r>
      <w:r w:rsidR="005D405A" w:rsidRPr="00100122">
        <w:rPr>
          <w:rFonts w:ascii="Times New Roman" w:hAnsi="Times New Roman"/>
          <w:sz w:val="24"/>
        </w:rPr>
        <w:t xml:space="preserve">But they often did so in a </w:t>
      </w:r>
      <w:r w:rsidR="00DD6E8E" w:rsidRPr="00100122">
        <w:rPr>
          <w:rFonts w:ascii="Times New Roman" w:hAnsi="Times New Roman"/>
          <w:sz w:val="24"/>
        </w:rPr>
        <w:t>collective</w:t>
      </w:r>
      <w:r w:rsidR="005D405A" w:rsidRPr="00100122">
        <w:rPr>
          <w:rFonts w:ascii="Times New Roman" w:hAnsi="Times New Roman"/>
          <w:sz w:val="24"/>
        </w:rPr>
        <w:t xml:space="preserve"> setting, traveling in a group to p</w:t>
      </w:r>
      <w:r w:rsidR="006B1613" w:rsidRPr="00100122">
        <w:rPr>
          <w:rFonts w:ascii="Times New Roman" w:hAnsi="Times New Roman"/>
          <w:sz w:val="24"/>
        </w:rPr>
        <w:t xml:space="preserve">rophesy </w:t>
      </w:r>
      <w:r w:rsidR="00D82B06" w:rsidRPr="00100122">
        <w:rPr>
          <w:rFonts w:ascii="Times New Roman" w:hAnsi="Times New Roman"/>
          <w:sz w:val="24"/>
        </w:rPr>
        <w:t>to</w:t>
      </w:r>
      <w:r w:rsidR="006B1613" w:rsidRPr="00100122">
        <w:rPr>
          <w:rFonts w:ascii="Times New Roman" w:hAnsi="Times New Roman"/>
          <w:sz w:val="24"/>
        </w:rPr>
        <w:t xml:space="preserve"> various cities. Mor</w:t>
      </w:r>
      <w:r w:rsidR="00D82B06" w:rsidRPr="00100122">
        <w:rPr>
          <w:rFonts w:ascii="Times New Roman" w:hAnsi="Times New Roman"/>
          <w:sz w:val="24"/>
        </w:rPr>
        <w:t xml:space="preserve">eover, </w:t>
      </w:r>
      <w:r w:rsidR="00CD28C0" w:rsidRPr="00100122">
        <w:rPr>
          <w:rFonts w:ascii="Times New Roman" w:hAnsi="Times New Roman"/>
          <w:sz w:val="24"/>
        </w:rPr>
        <w:t xml:space="preserve">their </w:t>
      </w:r>
      <w:r w:rsidR="00D82B06" w:rsidRPr="00100122">
        <w:rPr>
          <w:rFonts w:ascii="Times New Roman" w:hAnsi="Times New Roman"/>
          <w:sz w:val="24"/>
        </w:rPr>
        <w:t>prophetic performances utilized</w:t>
      </w:r>
      <w:r w:rsidR="006B1613" w:rsidRPr="00100122">
        <w:rPr>
          <w:rFonts w:ascii="Times New Roman" w:hAnsi="Times New Roman"/>
          <w:sz w:val="24"/>
        </w:rPr>
        <w:t xml:space="preserve"> multiple prophets. The Spirit “jumped” from prophet to prophet, as we saw in the examples o</w:t>
      </w:r>
      <w:r w:rsidR="00B65E6B" w:rsidRPr="00100122">
        <w:rPr>
          <w:rFonts w:ascii="Times New Roman" w:hAnsi="Times New Roman"/>
          <w:sz w:val="24"/>
        </w:rPr>
        <w:t>f Mary Keimer and Ann Topham</w:t>
      </w:r>
      <w:r w:rsidR="000729D1" w:rsidRPr="00100122">
        <w:rPr>
          <w:rFonts w:ascii="Times New Roman" w:hAnsi="Times New Roman"/>
          <w:sz w:val="24"/>
        </w:rPr>
        <w:t>. More than one female prophet</w:t>
      </w:r>
      <w:r w:rsidR="00E56374" w:rsidRPr="00100122">
        <w:rPr>
          <w:rFonts w:ascii="Times New Roman" w:hAnsi="Times New Roman"/>
          <w:sz w:val="24"/>
        </w:rPr>
        <w:t xml:space="preserve"> imitate</w:t>
      </w:r>
      <w:r w:rsidR="000729D1" w:rsidRPr="00100122">
        <w:rPr>
          <w:rFonts w:ascii="Times New Roman" w:hAnsi="Times New Roman"/>
          <w:sz w:val="24"/>
        </w:rPr>
        <w:t>d</w:t>
      </w:r>
      <w:r w:rsidR="00E56374" w:rsidRPr="00100122">
        <w:rPr>
          <w:rFonts w:ascii="Times New Roman" w:hAnsi="Times New Roman"/>
          <w:sz w:val="24"/>
        </w:rPr>
        <w:t xml:space="preserve"> or perform</w:t>
      </w:r>
      <w:r w:rsidR="000729D1" w:rsidRPr="00100122">
        <w:rPr>
          <w:rFonts w:ascii="Times New Roman" w:hAnsi="Times New Roman"/>
          <w:sz w:val="24"/>
        </w:rPr>
        <w:t>ed</w:t>
      </w:r>
      <w:r w:rsidR="00E56374" w:rsidRPr="00100122">
        <w:rPr>
          <w:rFonts w:ascii="Times New Roman" w:hAnsi="Times New Roman"/>
          <w:sz w:val="24"/>
        </w:rPr>
        <w:t xml:space="preserve"> the roles of figures </w:t>
      </w:r>
      <w:r w:rsidR="000729D1" w:rsidRPr="00100122">
        <w:rPr>
          <w:rFonts w:ascii="Times New Roman" w:hAnsi="Times New Roman"/>
          <w:sz w:val="24"/>
        </w:rPr>
        <w:t xml:space="preserve">from Revelation, such </w:t>
      </w:r>
      <w:r w:rsidR="00E56374" w:rsidRPr="00100122">
        <w:rPr>
          <w:rFonts w:ascii="Times New Roman" w:hAnsi="Times New Roman"/>
          <w:sz w:val="24"/>
        </w:rPr>
        <w:t>as the Whore of Babylon</w:t>
      </w:r>
      <w:r w:rsidR="00426983" w:rsidRPr="00100122">
        <w:rPr>
          <w:rFonts w:ascii="Times New Roman" w:hAnsi="Times New Roman"/>
          <w:sz w:val="24"/>
        </w:rPr>
        <w:t xml:space="preserve"> or the woman in Revelation 12</w:t>
      </w:r>
      <w:r w:rsidR="000729D1" w:rsidRPr="00100122">
        <w:rPr>
          <w:rFonts w:ascii="Times New Roman" w:hAnsi="Times New Roman"/>
          <w:sz w:val="24"/>
        </w:rPr>
        <w:t>,</w:t>
      </w:r>
      <w:r w:rsidR="00E56374" w:rsidRPr="00100122">
        <w:rPr>
          <w:rFonts w:ascii="Times New Roman" w:hAnsi="Times New Roman"/>
          <w:sz w:val="24"/>
        </w:rPr>
        <w:t xml:space="preserve"> in a theatrical manner. </w:t>
      </w:r>
      <w:r w:rsidR="00CD70B6" w:rsidRPr="00100122">
        <w:rPr>
          <w:rFonts w:ascii="Times New Roman" w:hAnsi="Times New Roman"/>
          <w:sz w:val="24"/>
        </w:rPr>
        <w:t xml:space="preserve">In these prophetic performances, they </w:t>
      </w:r>
      <w:r w:rsidR="007E18C3" w:rsidRPr="00100122">
        <w:rPr>
          <w:rFonts w:ascii="Times New Roman" w:hAnsi="Times New Roman"/>
          <w:sz w:val="24"/>
        </w:rPr>
        <w:t>participated in</w:t>
      </w:r>
      <w:r w:rsidR="00CD70B6" w:rsidRPr="00100122">
        <w:rPr>
          <w:rFonts w:ascii="Times New Roman" w:hAnsi="Times New Roman"/>
          <w:sz w:val="24"/>
        </w:rPr>
        <w:t xml:space="preserve"> the</w:t>
      </w:r>
      <w:r w:rsidR="00426983" w:rsidRPr="00100122">
        <w:rPr>
          <w:rFonts w:ascii="Times New Roman" w:hAnsi="Times New Roman"/>
          <w:sz w:val="24"/>
        </w:rPr>
        <w:t xml:space="preserve"> larger narratives of </w:t>
      </w:r>
      <w:r w:rsidR="00E11B35" w:rsidRPr="00100122">
        <w:rPr>
          <w:rFonts w:ascii="Times New Roman" w:hAnsi="Times New Roman"/>
          <w:sz w:val="24"/>
        </w:rPr>
        <w:t xml:space="preserve">eschatological warning that marked </w:t>
      </w:r>
      <w:r w:rsidR="00426983" w:rsidRPr="00100122">
        <w:rPr>
          <w:rFonts w:ascii="Times New Roman" w:hAnsi="Times New Roman"/>
          <w:sz w:val="24"/>
        </w:rPr>
        <w:t>French Prophets’ prophetic performances</w:t>
      </w:r>
      <w:r w:rsidR="00CD70B6" w:rsidRPr="00100122">
        <w:rPr>
          <w:rFonts w:ascii="Times New Roman" w:hAnsi="Times New Roman"/>
          <w:sz w:val="24"/>
        </w:rPr>
        <w:t>, and they thus filled an important role in the prophetic life of the French Prophets</w:t>
      </w:r>
      <w:r w:rsidR="00426983" w:rsidRPr="00100122">
        <w:rPr>
          <w:rFonts w:ascii="Times New Roman" w:hAnsi="Times New Roman"/>
          <w:sz w:val="24"/>
        </w:rPr>
        <w:t xml:space="preserve">. But </w:t>
      </w:r>
      <w:r w:rsidR="00CD70B6" w:rsidRPr="00100122">
        <w:rPr>
          <w:rFonts w:ascii="Times New Roman" w:hAnsi="Times New Roman"/>
          <w:sz w:val="24"/>
        </w:rPr>
        <w:t xml:space="preserve">female French Prophets occupied an unstable </w:t>
      </w:r>
      <w:r w:rsidR="000B2864" w:rsidRPr="00100122">
        <w:rPr>
          <w:rFonts w:ascii="Times New Roman" w:hAnsi="Times New Roman"/>
          <w:sz w:val="24"/>
        </w:rPr>
        <w:t>posi</w:t>
      </w:r>
      <w:r w:rsidR="007E18C3" w:rsidRPr="00100122">
        <w:rPr>
          <w:rFonts w:ascii="Times New Roman" w:hAnsi="Times New Roman"/>
          <w:sz w:val="24"/>
        </w:rPr>
        <w:t>tion within the broader communi</w:t>
      </w:r>
      <w:r w:rsidR="000B2864" w:rsidRPr="00100122">
        <w:rPr>
          <w:rFonts w:ascii="Times New Roman" w:hAnsi="Times New Roman"/>
          <w:sz w:val="24"/>
        </w:rPr>
        <w:t>ty</w:t>
      </w:r>
      <w:r w:rsidR="00426983" w:rsidRPr="00100122">
        <w:rPr>
          <w:rFonts w:ascii="Times New Roman" w:hAnsi="Times New Roman"/>
          <w:sz w:val="24"/>
        </w:rPr>
        <w:t xml:space="preserve">. When </w:t>
      </w:r>
      <w:r w:rsidR="000B2864" w:rsidRPr="00100122">
        <w:rPr>
          <w:rFonts w:ascii="Times New Roman" w:hAnsi="Times New Roman"/>
          <w:sz w:val="24"/>
        </w:rPr>
        <w:t>they</w:t>
      </w:r>
      <w:r w:rsidR="00426983" w:rsidRPr="00100122">
        <w:rPr>
          <w:rFonts w:ascii="Times New Roman" w:hAnsi="Times New Roman"/>
          <w:sz w:val="24"/>
        </w:rPr>
        <w:t xml:space="preserve"> imitated the Whore of Babylon, </w:t>
      </w:r>
      <w:r w:rsidR="002749CC" w:rsidRPr="00100122">
        <w:rPr>
          <w:rFonts w:ascii="Times New Roman" w:hAnsi="Times New Roman"/>
          <w:sz w:val="24"/>
        </w:rPr>
        <w:t>for examp</w:t>
      </w:r>
      <w:r w:rsidR="000B427B" w:rsidRPr="00100122">
        <w:rPr>
          <w:rFonts w:ascii="Times New Roman" w:hAnsi="Times New Roman"/>
          <w:sz w:val="24"/>
        </w:rPr>
        <w:t>l</w:t>
      </w:r>
      <w:r w:rsidR="002749CC" w:rsidRPr="00100122">
        <w:rPr>
          <w:rFonts w:ascii="Times New Roman" w:hAnsi="Times New Roman"/>
          <w:sz w:val="24"/>
        </w:rPr>
        <w:t>e</w:t>
      </w:r>
      <w:r w:rsidR="00426983" w:rsidRPr="00100122">
        <w:rPr>
          <w:rFonts w:ascii="Times New Roman" w:hAnsi="Times New Roman"/>
          <w:sz w:val="24"/>
        </w:rPr>
        <w:t xml:space="preserve">, they walked a fine line between contributing to the </w:t>
      </w:r>
      <w:r w:rsidR="000D39BA" w:rsidRPr="00100122">
        <w:rPr>
          <w:rFonts w:ascii="Times New Roman" w:hAnsi="Times New Roman"/>
          <w:sz w:val="24"/>
        </w:rPr>
        <w:t>prophetic performances</w:t>
      </w:r>
      <w:r w:rsidR="00426983" w:rsidRPr="00100122">
        <w:rPr>
          <w:rFonts w:ascii="Times New Roman" w:hAnsi="Times New Roman"/>
          <w:sz w:val="24"/>
        </w:rPr>
        <w:t xml:space="preserve"> of the French Prophets and overstepping</w:t>
      </w:r>
      <w:r w:rsidR="00E11B35" w:rsidRPr="00100122">
        <w:rPr>
          <w:rFonts w:ascii="Times New Roman" w:hAnsi="Times New Roman"/>
          <w:sz w:val="24"/>
        </w:rPr>
        <w:t xml:space="preserve"> their bounds within the group. </w:t>
      </w:r>
      <w:r w:rsidR="000729D1" w:rsidRPr="00100122">
        <w:rPr>
          <w:rFonts w:ascii="Times New Roman" w:hAnsi="Times New Roman"/>
          <w:sz w:val="24"/>
        </w:rPr>
        <w:t xml:space="preserve">Among the French Prophets, transgression from the group or the attempt to assert too much individuality could result in ostracization. Female prophets such as Dorothy Harling or Elizabeth Gray, who engaged in behavior that went against the broader program of the French Prophets, found themselves censured or even </w:t>
      </w:r>
      <w:r w:rsidR="002749CC" w:rsidRPr="00100122">
        <w:rPr>
          <w:rFonts w:ascii="Times New Roman" w:hAnsi="Times New Roman"/>
          <w:sz w:val="24"/>
        </w:rPr>
        <w:t>shunned</w:t>
      </w:r>
      <w:r w:rsidR="000729D1" w:rsidRPr="00100122">
        <w:rPr>
          <w:rFonts w:ascii="Times New Roman" w:hAnsi="Times New Roman"/>
          <w:sz w:val="24"/>
        </w:rPr>
        <w:t>.</w:t>
      </w:r>
      <w:r w:rsidR="00997C8A" w:rsidRPr="00100122">
        <w:rPr>
          <w:rStyle w:val="FootnoteReference"/>
          <w:rFonts w:ascii="Times New Roman" w:hAnsi="Times New Roman"/>
          <w:sz w:val="24"/>
        </w:rPr>
        <w:footnoteReference w:id="21"/>
      </w:r>
    </w:p>
    <w:p w:rsidR="00937624" w:rsidRPr="00100122" w:rsidRDefault="00937624" w:rsidP="00937624">
      <w:pPr>
        <w:spacing w:line="480" w:lineRule="auto"/>
        <w:rPr>
          <w:rFonts w:ascii="Times New Roman" w:hAnsi="Times New Roman"/>
          <w:sz w:val="24"/>
        </w:rPr>
      </w:pPr>
      <w:r w:rsidRPr="00100122">
        <w:rPr>
          <w:rFonts w:ascii="Times New Roman" w:hAnsi="Times New Roman"/>
          <w:sz w:val="24"/>
        </w:rPr>
        <w:tab/>
      </w:r>
      <w:r w:rsidR="007E18C3" w:rsidRPr="00100122">
        <w:rPr>
          <w:rFonts w:ascii="Times New Roman" w:hAnsi="Times New Roman"/>
          <w:sz w:val="24"/>
        </w:rPr>
        <w:t xml:space="preserve">The study of female prophecy from a transconfessional standpoint offers us a better understanding of how prophecy evolved. </w:t>
      </w:r>
      <w:r w:rsidR="000D39BA" w:rsidRPr="00100122">
        <w:rPr>
          <w:rFonts w:ascii="Times New Roman" w:hAnsi="Times New Roman"/>
          <w:sz w:val="24"/>
        </w:rPr>
        <w:t>F</w:t>
      </w:r>
      <w:r w:rsidR="000B2864" w:rsidRPr="00100122">
        <w:rPr>
          <w:rFonts w:ascii="Times New Roman" w:hAnsi="Times New Roman"/>
          <w:sz w:val="24"/>
        </w:rPr>
        <w:t>emale</w:t>
      </w:r>
      <w:r w:rsidRPr="00100122">
        <w:rPr>
          <w:rFonts w:ascii="Times New Roman" w:hAnsi="Times New Roman"/>
          <w:sz w:val="24"/>
        </w:rPr>
        <w:t xml:space="preserve"> prophecy</w:t>
      </w:r>
      <w:r w:rsidR="000D39BA" w:rsidRPr="00100122">
        <w:rPr>
          <w:rFonts w:ascii="Times New Roman" w:hAnsi="Times New Roman"/>
          <w:sz w:val="24"/>
        </w:rPr>
        <w:t>, however categorized,</w:t>
      </w:r>
      <w:r w:rsidR="00E13CF3" w:rsidRPr="00100122">
        <w:rPr>
          <w:rFonts w:ascii="Times New Roman" w:hAnsi="Times New Roman"/>
          <w:sz w:val="24"/>
        </w:rPr>
        <w:t xml:space="preserve"> operated cyclically: it was characterized by continual manifestations</w:t>
      </w:r>
      <w:r w:rsidRPr="00100122">
        <w:rPr>
          <w:rFonts w:ascii="Times New Roman" w:hAnsi="Times New Roman"/>
          <w:sz w:val="24"/>
        </w:rPr>
        <w:t xml:space="preserve"> rather than </w:t>
      </w:r>
      <w:r w:rsidR="00E13CF3" w:rsidRPr="00100122">
        <w:rPr>
          <w:rFonts w:ascii="Times New Roman" w:hAnsi="Times New Roman"/>
          <w:sz w:val="24"/>
        </w:rPr>
        <w:t>by</w:t>
      </w:r>
      <w:r w:rsidRPr="00100122">
        <w:rPr>
          <w:rFonts w:ascii="Times New Roman" w:hAnsi="Times New Roman"/>
          <w:sz w:val="24"/>
        </w:rPr>
        <w:t xml:space="preserve"> a “rise and decline” </w:t>
      </w:r>
      <w:r w:rsidR="00AB749A" w:rsidRPr="00100122">
        <w:rPr>
          <w:rFonts w:ascii="Times New Roman" w:hAnsi="Times New Roman"/>
          <w:sz w:val="24"/>
        </w:rPr>
        <w:t>model</w:t>
      </w:r>
      <w:r w:rsidRPr="00100122">
        <w:rPr>
          <w:rFonts w:ascii="Times New Roman" w:hAnsi="Times New Roman"/>
          <w:sz w:val="24"/>
        </w:rPr>
        <w:t>. The feminization of religious discourse in the late seventeenth century, for example, did not indicate a decline in either the intensity or the radicality of female prophecy.</w:t>
      </w:r>
      <w:r w:rsidRPr="00100122">
        <w:rPr>
          <w:rStyle w:val="FootnoteReference"/>
          <w:rFonts w:ascii="Times New Roman" w:hAnsi="Times New Roman"/>
          <w:sz w:val="24"/>
        </w:rPr>
        <w:footnoteReference w:id="22"/>
      </w:r>
      <w:r w:rsidRPr="00100122">
        <w:rPr>
          <w:rFonts w:ascii="Times New Roman" w:hAnsi="Times New Roman"/>
          <w:sz w:val="24"/>
        </w:rPr>
        <w:t xml:space="preserve"> Within individual groups, such as the Quakers, the changes that accompanied the second generation of a group’s existence did point to decline in female prophecy—especially in its more radical forms. But female prophecy</w:t>
      </w:r>
      <w:r w:rsidR="00D560D7" w:rsidRPr="00100122">
        <w:rPr>
          <w:rFonts w:ascii="Times New Roman" w:hAnsi="Times New Roman"/>
          <w:sz w:val="24"/>
        </w:rPr>
        <w:t xml:space="preserve"> as part of a transconfessional religious sphere</w:t>
      </w:r>
      <w:r w:rsidRPr="00100122">
        <w:rPr>
          <w:rFonts w:ascii="Times New Roman" w:hAnsi="Times New Roman"/>
          <w:sz w:val="24"/>
        </w:rPr>
        <w:t xml:space="preserve"> </w:t>
      </w:r>
      <w:r w:rsidR="00D560D7" w:rsidRPr="00100122">
        <w:rPr>
          <w:rFonts w:ascii="Times New Roman" w:hAnsi="Times New Roman"/>
          <w:sz w:val="24"/>
        </w:rPr>
        <w:t xml:space="preserve">of dissenters </w:t>
      </w:r>
      <w:r w:rsidRPr="00100122">
        <w:rPr>
          <w:rFonts w:ascii="Times New Roman" w:hAnsi="Times New Roman"/>
          <w:sz w:val="24"/>
        </w:rPr>
        <w:t xml:space="preserve">continued in various manifestations throughout the </w:t>
      </w:r>
      <w:r w:rsidR="007E18C3" w:rsidRPr="00100122">
        <w:rPr>
          <w:rFonts w:ascii="Times New Roman" w:hAnsi="Times New Roman"/>
          <w:sz w:val="24"/>
        </w:rPr>
        <w:t>mid seventeenth- to</w:t>
      </w:r>
      <w:r w:rsidRPr="00100122">
        <w:rPr>
          <w:rFonts w:ascii="Times New Roman" w:hAnsi="Times New Roman"/>
          <w:sz w:val="24"/>
        </w:rPr>
        <w:t xml:space="preserve"> early eighteenth-century British Atlantic.</w:t>
      </w:r>
    </w:p>
    <w:p w:rsidR="00007CF1" w:rsidRPr="00100122" w:rsidRDefault="00007CF1" w:rsidP="00007CF1">
      <w:pPr>
        <w:spacing w:line="480" w:lineRule="auto"/>
        <w:ind w:firstLine="720"/>
        <w:rPr>
          <w:rFonts w:ascii="Times New Roman" w:hAnsi="Times New Roman"/>
          <w:sz w:val="24"/>
        </w:rPr>
      </w:pPr>
      <w:r w:rsidRPr="00100122">
        <w:rPr>
          <w:rFonts w:ascii="Times New Roman" w:hAnsi="Times New Roman"/>
          <w:sz w:val="24"/>
        </w:rPr>
        <w:t>While prophecy c</w:t>
      </w:r>
      <w:r w:rsidR="00E13CF3" w:rsidRPr="00100122">
        <w:rPr>
          <w:rFonts w:ascii="Times New Roman" w:hAnsi="Times New Roman"/>
          <w:sz w:val="24"/>
        </w:rPr>
        <w:t>ontinued throughout the period</w:t>
      </w:r>
      <w:r w:rsidRPr="00100122">
        <w:rPr>
          <w:rFonts w:ascii="Times New Roman" w:hAnsi="Times New Roman"/>
          <w:sz w:val="24"/>
        </w:rPr>
        <w:t xml:space="preserve">, </w:t>
      </w:r>
      <w:r w:rsidR="007E18C3" w:rsidRPr="00100122">
        <w:rPr>
          <w:rFonts w:ascii="Times New Roman" w:hAnsi="Times New Roman"/>
          <w:sz w:val="24"/>
        </w:rPr>
        <w:t xml:space="preserve">though, </w:t>
      </w:r>
      <w:r w:rsidRPr="00100122">
        <w:rPr>
          <w:rFonts w:ascii="Times New Roman" w:hAnsi="Times New Roman"/>
          <w:sz w:val="24"/>
        </w:rPr>
        <w:t xml:space="preserve">it was not static. As we have seen, prophecy adapted and responded to a number of outside factors, including social and political crisis, developments in religious thought, the emergence of </w:t>
      </w:r>
      <w:r w:rsidR="00D560D7" w:rsidRPr="00100122">
        <w:rPr>
          <w:rFonts w:ascii="Times New Roman" w:hAnsi="Times New Roman"/>
          <w:sz w:val="24"/>
        </w:rPr>
        <w:t>networks</w:t>
      </w:r>
      <w:r w:rsidRPr="00100122">
        <w:rPr>
          <w:rFonts w:ascii="Times New Roman" w:hAnsi="Times New Roman"/>
          <w:sz w:val="24"/>
        </w:rPr>
        <w:t xml:space="preserve"> that allowed for the exchange of ideas across national and confessional boundaries, and changes to the relationship between prophet and audience. As dissenters gained toleration or societal acceptance, and as the religious or political crises that contextualized their prophecy declined, so too</w:t>
      </w:r>
      <w:r w:rsidR="008D120C">
        <w:rPr>
          <w:rFonts w:ascii="Times New Roman" w:hAnsi="Times New Roman"/>
          <w:sz w:val="24"/>
        </w:rPr>
        <w:t xml:space="preserve"> did</w:t>
      </w:r>
      <w:r w:rsidRPr="00100122">
        <w:rPr>
          <w:rFonts w:ascii="Times New Roman" w:hAnsi="Times New Roman"/>
          <w:sz w:val="24"/>
        </w:rPr>
        <w:t xml:space="preserve"> their prophecy. Prophecy cannot be distilled into mere recourse; it came out of a religious framework that had implications greater than that of human agency. However, prophecy always remained most useful to those on the fringe of society because it allowed them to make the claim that their message should be heard because it came from God. This </w:t>
      </w:r>
      <w:r w:rsidR="00251BFD" w:rsidRPr="00100122">
        <w:rPr>
          <w:rFonts w:ascii="Times New Roman" w:hAnsi="Times New Roman"/>
          <w:sz w:val="24"/>
        </w:rPr>
        <w:t>was</w:t>
      </w:r>
      <w:r w:rsidRPr="00100122">
        <w:rPr>
          <w:rFonts w:ascii="Times New Roman" w:hAnsi="Times New Roman"/>
          <w:sz w:val="24"/>
        </w:rPr>
        <w:t xml:space="preserve"> especially true of female prophecy, which gave women the opportunity to travel, speak publicly, and publish writings in a time whe</w:t>
      </w:r>
      <w:r w:rsidR="002F221E" w:rsidRPr="00100122">
        <w:rPr>
          <w:rFonts w:ascii="Times New Roman" w:hAnsi="Times New Roman"/>
          <w:sz w:val="24"/>
        </w:rPr>
        <w:t>n</w:t>
      </w:r>
      <w:r w:rsidRPr="00100122">
        <w:rPr>
          <w:rFonts w:ascii="Times New Roman" w:hAnsi="Times New Roman"/>
          <w:sz w:val="24"/>
        </w:rPr>
        <w:t xml:space="preserve"> entrance into the public sphere was </w:t>
      </w:r>
      <w:r w:rsidR="002F221E" w:rsidRPr="00100122">
        <w:rPr>
          <w:rFonts w:ascii="Times New Roman" w:hAnsi="Times New Roman"/>
          <w:sz w:val="24"/>
        </w:rPr>
        <w:t>difficult</w:t>
      </w:r>
      <w:r w:rsidRPr="00100122">
        <w:rPr>
          <w:rFonts w:ascii="Times New Roman" w:hAnsi="Times New Roman"/>
          <w:sz w:val="24"/>
        </w:rPr>
        <w:t xml:space="preserve"> for women.</w:t>
      </w:r>
    </w:p>
    <w:p w:rsidR="00937624" w:rsidRPr="00100122" w:rsidRDefault="00007CF1" w:rsidP="00007CF1">
      <w:pPr>
        <w:spacing w:line="480" w:lineRule="auto"/>
        <w:ind w:firstLine="720"/>
        <w:rPr>
          <w:rFonts w:ascii="Times New Roman" w:hAnsi="Times New Roman"/>
          <w:sz w:val="24"/>
        </w:rPr>
      </w:pPr>
      <w:r w:rsidRPr="00100122">
        <w:rPr>
          <w:rFonts w:ascii="Times New Roman" w:hAnsi="Times New Roman"/>
          <w:sz w:val="24"/>
        </w:rPr>
        <w:t>Because female prophecy invo</w:t>
      </w:r>
      <w:r w:rsidR="00E13CF3" w:rsidRPr="00100122">
        <w:rPr>
          <w:rFonts w:ascii="Times New Roman" w:hAnsi="Times New Roman"/>
          <w:sz w:val="24"/>
        </w:rPr>
        <w:t>lved public speech or</w:t>
      </w:r>
      <w:r w:rsidRPr="00100122">
        <w:rPr>
          <w:rFonts w:ascii="Times New Roman" w:hAnsi="Times New Roman"/>
          <w:sz w:val="24"/>
        </w:rPr>
        <w:t xml:space="preserve"> writing, it has interested scholars as a way to address questions of agency and authority. Women prophets </w:t>
      </w:r>
      <w:r w:rsidR="000655DA">
        <w:rPr>
          <w:rFonts w:ascii="Times New Roman" w:hAnsi="Times New Roman"/>
          <w:sz w:val="24"/>
        </w:rPr>
        <w:t>claimed</w:t>
      </w:r>
      <w:r w:rsidRPr="00100122">
        <w:rPr>
          <w:rFonts w:ascii="Times New Roman" w:hAnsi="Times New Roman"/>
          <w:sz w:val="24"/>
        </w:rPr>
        <w:t xml:space="preserve"> that they were chosen by God </w:t>
      </w:r>
      <w:r w:rsidR="000655DA">
        <w:rPr>
          <w:rFonts w:ascii="Times New Roman" w:hAnsi="Times New Roman"/>
          <w:sz w:val="24"/>
        </w:rPr>
        <w:t>in order to establish</w:t>
      </w:r>
      <w:r w:rsidRPr="00100122">
        <w:rPr>
          <w:rFonts w:ascii="Times New Roman" w:hAnsi="Times New Roman"/>
          <w:sz w:val="24"/>
        </w:rPr>
        <w:t xml:space="preserve"> their authority as prophets. They believed that their chosenness gave them an immediate claim to authority both within their religious communities and as they addressed their audiences and readerships. At the same time, we cannot understand female prophecy without moving past the debates over agency that have </w:t>
      </w:r>
      <w:r w:rsidR="007E18C3" w:rsidRPr="00100122">
        <w:rPr>
          <w:rFonts w:ascii="Times New Roman" w:hAnsi="Times New Roman"/>
          <w:sz w:val="24"/>
        </w:rPr>
        <w:t>guided</w:t>
      </w:r>
      <w:r w:rsidRPr="00100122">
        <w:rPr>
          <w:rFonts w:ascii="Times New Roman" w:hAnsi="Times New Roman"/>
          <w:sz w:val="24"/>
        </w:rPr>
        <w:t xml:space="preserve"> studies on women and prophecy.</w:t>
      </w:r>
      <w:r w:rsidR="00A05AAC" w:rsidRPr="00100122">
        <w:rPr>
          <w:rStyle w:val="FootnoteReference"/>
          <w:rFonts w:ascii="Times New Roman" w:hAnsi="Times New Roman"/>
          <w:sz w:val="24"/>
        </w:rPr>
        <w:footnoteReference w:id="23"/>
      </w:r>
      <w:r w:rsidRPr="00100122">
        <w:rPr>
          <w:rFonts w:ascii="Times New Roman" w:hAnsi="Times New Roman"/>
          <w:sz w:val="24"/>
        </w:rPr>
        <w:t xml:space="preserve"> Female prophecy involved </w:t>
      </w:r>
      <w:r w:rsidR="003C3B0B">
        <w:rPr>
          <w:rFonts w:ascii="Times New Roman" w:hAnsi="Times New Roman"/>
          <w:sz w:val="24"/>
        </w:rPr>
        <w:t xml:space="preserve">more </w:t>
      </w:r>
      <w:r w:rsidRPr="00100122">
        <w:rPr>
          <w:rFonts w:ascii="Times New Roman" w:hAnsi="Times New Roman"/>
          <w:sz w:val="24"/>
        </w:rPr>
        <w:t xml:space="preserve">than just questions of </w:t>
      </w:r>
      <w:bookmarkStart w:id="0" w:name="_GoBack"/>
      <w:r w:rsidR="008D120C">
        <w:rPr>
          <w:rFonts w:ascii="Times New Roman" w:hAnsi="Times New Roman"/>
          <w:sz w:val="24"/>
        </w:rPr>
        <w:t xml:space="preserve">individual </w:t>
      </w:r>
      <w:bookmarkEnd w:id="0"/>
      <w:r w:rsidRPr="00100122">
        <w:rPr>
          <w:rFonts w:ascii="Times New Roman" w:hAnsi="Times New Roman"/>
          <w:sz w:val="24"/>
        </w:rPr>
        <w:t>agency: women prophets also participated as actors in various overlapping religious networks.</w:t>
      </w:r>
      <w:r w:rsidRPr="00100122">
        <w:rPr>
          <w:rStyle w:val="FootnoteReference"/>
          <w:rFonts w:ascii="Times New Roman" w:hAnsi="Times New Roman"/>
          <w:sz w:val="24"/>
        </w:rPr>
        <w:footnoteReference w:id="24"/>
      </w:r>
      <w:r w:rsidRPr="00100122">
        <w:rPr>
          <w:rFonts w:ascii="Times New Roman" w:hAnsi="Times New Roman"/>
          <w:sz w:val="24"/>
        </w:rPr>
        <w:t xml:space="preserve"> One of these networks centered on the transmission and reception of prophecy; it involved (at various times) prophets, followers, promoters, sponsors, audiences, publishers, and critics. Women prophets also participated in the </w:t>
      </w:r>
      <w:r w:rsidR="00AB749A" w:rsidRPr="00100122">
        <w:rPr>
          <w:rFonts w:ascii="Times New Roman" w:hAnsi="Times New Roman"/>
          <w:sz w:val="24"/>
        </w:rPr>
        <w:t xml:space="preserve">transconfessional </w:t>
      </w:r>
      <w:r w:rsidRPr="00100122">
        <w:rPr>
          <w:rFonts w:ascii="Times New Roman" w:hAnsi="Times New Roman"/>
          <w:sz w:val="24"/>
        </w:rPr>
        <w:t>networks</w:t>
      </w:r>
      <w:r w:rsidR="002F221E" w:rsidRPr="00100122">
        <w:rPr>
          <w:rFonts w:ascii="Times New Roman" w:hAnsi="Times New Roman"/>
          <w:sz w:val="24"/>
        </w:rPr>
        <w:t xml:space="preserve"> that came together to form a </w:t>
      </w:r>
      <w:r w:rsidRPr="00100122">
        <w:rPr>
          <w:rFonts w:ascii="Times New Roman" w:hAnsi="Times New Roman"/>
          <w:sz w:val="24"/>
        </w:rPr>
        <w:t>religious sphere of dissenters in late seventeenth- and early eighteenth-century Europe</w:t>
      </w:r>
      <w:r w:rsidR="00AB749A" w:rsidRPr="00100122">
        <w:rPr>
          <w:rFonts w:ascii="Times New Roman" w:hAnsi="Times New Roman"/>
          <w:sz w:val="24"/>
        </w:rPr>
        <w:t xml:space="preserve"> and the British Atlantic</w:t>
      </w:r>
      <w:r w:rsidRPr="00100122">
        <w:rPr>
          <w:rFonts w:ascii="Times New Roman" w:hAnsi="Times New Roman"/>
          <w:sz w:val="24"/>
        </w:rPr>
        <w:t xml:space="preserve">. </w:t>
      </w:r>
      <w:r w:rsidR="000655DA">
        <w:rPr>
          <w:rFonts w:ascii="Times New Roman" w:hAnsi="Times New Roman"/>
          <w:sz w:val="24"/>
        </w:rPr>
        <w:t>Female prophets illustrate how communities and networks of dissenting Protestants functioned in this period, and these women became a key element in the growth and expansion of these communities throughout the Atlantic world.</w:t>
      </w:r>
    </w:p>
    <w:p w:rsidR="00824EDF" w:rsidRPr="00100122" w:rsidRDefault="00DB387B" w:rsidP="00744C6B">
      <w:pPr>
        <w:spacing w:line="480" w:lineRule="auto"/>
        <w:ind w:firstLine="720"/>
        <w:rPr>
          <w:rFonts w:ascii="Times New Roman" w:hAnsi="Times New Roman"/>
          <w:sz w:val="24"/>
        </w:rPr>
      </w:pPr>
      <w:r w:rsidRPr="00100122">
        <w:rPr>
          <w:rFonts w:ascii="Times New Roman" w:hAnsi="Times New Roman"/>
          <w:sz w:val="24"/>
        </w:rPr>
        <w:t>The</w:t>
      </w:r>
      <w:r w:rsidR="00744C6B" w:rsidRPr="00100122">
        <w:rPr>
          <w:rFonts w:ascii="Times New Roman" w:hAnsi="Times New Roman"/>
          <w:sz w:val="24"/>
        </w:rPr>
        <w:t xml:space="preserve"> goal of </w:t>
      </w:r>
      <w:r w:rsidRPr="00100122">
        <w:rPr>
          <w:rFonts w:ascii="Times New Roman" w:hAnsi="Times New Roman"/>
          <w:sz w:val="24"/>
        </w:rPr>
        <w:t>much scholarship on female prophecy</w:t>
      </w:r>
      <w:r w:rsidR="00744C6B" w:rsidRPr="00100122">
        <w:rPr>
          <w:rFonts w:ascii="Times New Roman" w:hAnsi="Times New Roman"/>
          <w:sz w:val="24"/>
        </w:rPr>
        <w:t xml:space="preserve"> has been to locate the legacy of individual sectarian groups within the larger con</w:t>
      </w:r>
      <w:r w:rsidR="00FB0CFD" w:rsidRPr="00100122">
        <w:rPr>
          <w:rFonts w:ascii="Times New Roman" w:hAnsi="Times New Roman"/>
          <w:sz w:val="24"/>
        </w:rPr>
        <w:t>text of eighteenth- to twentieth-</w:t>
      </w:r>
      <w:r w:rsidR="00744C6B" w:rsidRPr="00100122">
        <w:rPr>
          <w:rFonts w:ascii="Times New Roman" w:hAnsi="Times New Roman"/>
          <w:sz w:val="24"/>
        </w:rPr>
        <w:t>century religious history. Hence</w:t>
      </w:r>
      <w:r w:rsidR="00FB0CFD" w:rsidRPr="00100122">
        <w:rPr>
          <w:rFonts w:ascii="Times New Roman" w:hAnsi="Times New Roman"/>
          <w:sz w:val="24"/>
        </w:rPr>
        <w:t xml:space="preserve"> the</w:t>
      </w:r>
      <w:r w:rsidR="00744C6B" w:rsidRPr="00100122">
        <w:rPr>
          <w:rFonts w:ascii="Times New Roman" w:hAnsi="Times New Roman"/>
          <w:sz w:val="24"/>
        </w:rPr>
        <w:t xml:space="preserve"> female </w:t>
      </w:r>
      <w:r w:rsidR="001D4A87" w:rsidRPr="00100122">
        <w:rPr>
          <w:rFonts w:ascii="Times New Roman" w:hAnsi="Times New Roman"/>
          <w:sz w:val="24"/>
        </w:rPr>
        <w:t>Quaker proph</w:t>
      </w:r>
      <w:r w:rsidR="00FB0CFD" w:rsidRPr="00100122">
        <w:rPr>
          <w:rFonts w:ascii="Times New Roman" w:hAnsi="Times New Roman"/>
          <w:sz w:val="24"/>
        </w:rPr>
        <w:t>etic tradition influenced</w:t>
      </w:r>
      <w:r w:rsidR="001D4A87" w:rsidRPr="00100122">
        <w:rPr>
          <w:rFonts w:ascii="Times New Roman" w:hAnsi="Times New Roman"/>
          <w:sz w:val="24"/>
        </w:rPr>
        <w:t xml:space="preserve"> </w:t>
      </w:r>
      <w:r w:rsidR="00744C6B" w:rsidRPr="00100122">
        <w:rPr>
          <w:rFonts w:ascii="Times New Roman" w:hAnsi="Times New Roman"/>
          <w:sz w:val="24"/>
        </w:rPr>
        <w:t xml:space="preserve">female abolitionists and suffragettes, while the </w:t>
      </w:r>
      <w:r w:rsidR="002E2187" w:rsidRPr="00100122">
        <w:rPr>
          <w:rFonts w:ascii="Times New Roman" w:hAnsi="Times New Roman"/>
          <w:sz w:val="24"/>
        </w:rPr>
        <w:t xml:space="preserve">French Prophets </w:t>
      </w:r>
      <w:r w:rsidR="002F221E" w:rsidRPr="00100122">
        <w:rPr>
          <w:rFonts w:ascii="Times New Roman" w:hAnsi="Times New Roman"/>
          <w:sz w:val="24"/>
        </w:rPr>
        <w:t>shaped</w:t>
      </w:r>
      <w:r w:rsidR="002E2187" w:rsidRPr="00100122">
        <w:rPr>
          <w:rFonts w:ascii="Times New Roman" w:hAnsi="Times New Roman"/>
          <w:sz w:val="24"/>
        </w:rPr>
        <w:t xml:space="preserve"> </w:t>
      </w:r>
      <w:r w:rsidR="00744C6B" w:rsidRPr="00100122">
        <w:rPr>
          <w:rFonts w:ascii="Times New Roman" w:hAnsi="Times New Roman"/>
          <w:sz w:val="24"/>
        </w:rPr>
        <w:t xml:space="preserve">American Shakers </w:t>
      </w:r>
      <w:r w:rsidR="002E2187" w:rsidRPr="00100122">
        <w:rPr>
          <w:rFonts w:ascii="Times New Roman" w:hAnsi="Times New Roman"/>
          <w:sz w:val="24"/>
        </w:rPr>
        <w:t>and Ann Lee</w:t>
      </w:r>
      <w:r w:rsidR="00744C6B" w:rsidRPr="00100122">
        <w:rPr>
          <w:rFonts w:ascii="Times New Roman" w:hAnsi="Times New Roman"/>
          <w:sz w:val="24"/>
        </w:rPr>
        <w:t>.</w:t>
      </w:r>
      <w:r w:rsidR="00744C6B" w:rsidRPr="00100122">
        <w:rPr>
          <w:rStyle w:val="FootnoteReference"/>
          <w:rFonts w:ascii="Times New Roman" w:hAnsi="Times New Roman"/>
          <w:sz w:val="24"/>
        </w:rPr>
        <w:footnoteReference w:id="25"/>
      </w:r>
      <w:r w:rsidR="00744C6B" w:rsidRPr="00100122">
        <w:rPr>
          <w:rFonts w:ascii="Times New Roman" w:hAnsi="Times New Roman"/>
          <w:sz w:val="24"/>
        </w:rPr>
        <w:t xml:space="preserve"> But the challenge for us here </w:t>
      </w:r>
      <w:r w:rsidR="0042129C" w:rsidRPr="00100122">
        <w:rPr>
          <w:rFonts w:ascii="Times New Roman" w:hAnsi="Times New Roman"/>
          <w:sz w:val="24"/>
        </w:rPr>
        <w:t>has been</w:t>
      </w:r>
      <w:r w:rsidR="00744C6B" w:rsidRPr="00100122">
        <w:rPr>
          <w:rFonts w:ascii="Times New Roman" w:hAnsi="Times New Roman"/>
          <w:sz w:val="24"/>
        </w:rPr>
        <w:t xml:space="preserve"> to assess the legacy not of an individual group but, rather, of the entire transconfessional, transnational phenomenon of seventeenth- and eighteenth-century female prophecy.</w:t>
      </w:r>
    </w:p>
    <w:p w:rsidR="00744C6B" w:rsidRPr="00100122" w:rsidRDefault="00C04E61" w:rsidP="007E18C3">
      <w:pPr>
        <w:spacing w:line="480" w:lineRule="auto"/>
        <w:ind w:firstLine="720"/>
        <w:rPr>
          <w:rFonts w:ascii="Times New Roman" w:hAnsi="Times New Roman"/>
          <w:sz w:val="24"/>
        </w:rPr>
      </w:pPr>
      <w:r w:rsidRPr="00100122">
        <w:rPr>
          <w:rFonts w:ascii="Times New Roman" w:hAnsi="Times New Roman"/>
          <w:sz w:val="24"/>
        </w:rPr>
        <w:t>Th</w:t>
      </w:r>
      <w:r w:rsidR="00FB0CFD" w:rsidRPr="00100122">
        <w:rPr>
          <w:rFonts w:ascii="Times New Roman" w:hAnsi="Times New Roman"/>
          <w:sz w:val="24"/>
        </w:rPr>
        <w:t xml:space="preserve">is task </w:t>
      </w:r>
      <w:r w:rsidR="0042129C" w:rsidRPr="00100122">
        <w:rPr>
          <w:rFonts w:ascii="Times New Roman" w:hAnsi="Times New Roman"/>
          <w:sz w:val="24"/>
        </w:rPr>
        <w:t>has demanded</w:t>
      </w:r>
      <w:r w:rsidR="00FB0CFD" w:rsidRPr="00100122">
        <w:rPr>
          <w:rFonts w:ascii="Times New Roman" w:hAnsi="Times New Roman"/>
          <w:sz w:val="24"/>
        </w:rPr>
        <w:t xml:space="preserve"> our recognition of election as</w:t>
      </w:r>
      <w:r w:rsidRPr="00100122">
        <w:rPr>
          <w:rFonts w:ascii="Times New Roman" w:hAnsi="Times New Roman"/>
          <w:sz w:val="24"/>
        </w:rPr>
        <w:t xml:space="preserve"> a</w:t>
      </w:r>
      <w:r w:rsidR="00FB0CFD" w:rsidRPr="00100122">
        <w:rPr>
          <w:rFonts w:ascii="Times New Roman" w:hAnsi="Times New Roman"/>
          <w:sz w:val="24"/>
        </w:rPr>
        <w:t>n important</w:t>
      </w:r>
      <w:r w:rsidRPr="00100122">
        <w:rPr>
          <w:rFonts w:ascii="Times New Roman" w:hAnsi="Times New Roman"/>
          <w:sz w:val="24"/>
        </w:rPr>
        <w:t xml:space="preserve"> discursive </w:t>
      </w:r>
      <w:r w:rsidR="00EB7469" w:rsidRPr="00100122">
        <w:rPr>
          <w:rFonts w:ascii="Times New Roman" w:hAnsi="Times New Roman"/>
          <w:sz w:val="24"/>
        </w:rPr>
        <w:t xml:space="preserve">and rhetorical </w:t>
      </w:r>
      <w:r w:rsidRPr="00100122">
        <w:rPr>
          <w:rFonts w:ascii="Times New Roman" w:hAnsi="Times New Roman"/>
          <w:sz w:val="24"/>
        </w:rPr>
        <w:t xml:space="preserve">tool that reached past its Calvinist </w:t>
      </w:r>
      <w:r w:rsidR="00251BFD" w:rsidRPr="00100122">
        <w:rPr>
          <w:rFonts w:ascii="Times New Roman" w:hAnsi="Times New Roman"/>
          <w:sz w:val="24"/>
        </w:rPr>
        <w:t xml:space="preserve">soteriological </w:t>
      </w:r>
      <w:r w:rsidRPr="00100122">
        <w:rPr>
          <w:rFonts w:ascii="Times New Roman" w:hAnsi="Times New Roman"/>
          <w:sz w:val="24"/>
        </w:rPr>
        <w:t xml:space="preserve">implications. </w:t>
      </w:r>
      <w:r w:rsidR="003C2A53" w:rsidRPr="00100122">
        <w:rPr>
          <w:rFonts w:ascii="Times New Roman" w:hAnsi="Times New Roman"/>
          <w:sz w:val="24"/>
        </w:rPr>
        <w:t>Prophets assigned election millenarian, ind</w:t>
      </w:r>
      <w:r w:rsidR="00426FE4" w:rsidRPr="00100122">
        <w:rPr>
          <w:rFonts w:ascii="Times New Roman" w:hAnsi="Times New Roman"/>
          <w:sz w:val="24"/>
        </w:rPr>
        <w:t>ividual, and collective nuances</w:t>
      </w:r>
      <w:r w:rsidR="0056298B" w:rsidRPr="00100122">
        <w:rPr>
          <w:rFonts w:ascii="Times New Roman" w:hAnsi="Times New Roman"/>
          <w:sz w:val="24"/>
        </w:rPr>
        <w:t>. E</w:t>
      </w:r>
      <w:r w:rsidR="003C2A53" w:rsidRPr="00100122">
        <w:rPr>
          <w:rFonts w:ascii="Times New Roman" w:hAnsi="Times New Roman"/>
          <w:sz w:val="24"/>
        </w:rPr>
        <w:t xml:space="preserve">lection </w:t>
      </w:r>
      <w:r w:rsidR="00426FE4" w:rsidRPr="00100122">
        <w:rPr>
          <w:rFonts w:ascii="Times New Roman" w:hAnsi="Times New Roman"/>
          <w:sz w:val="24"/>
        </w:rPr>
        <w:t xml:space="preserve">informed how prophets </w:t>
      </w:r>
      <w:r w:rsidR="003C2A53" w:rsidRPr="00100122">
        <w:rPr>
          <w:rFonts w:ascii="Times New Roman" w:hAnsi="Times New Roman"/>
          <w:sz w:val="24"/>
        </w:rPr>
        <w:t xml:space="preserve">inscribed boundaries around </w:t>
      </w:r>
      <w:r w:rsidR="00426FE4" w:rsidRPr="00100122">
        <w:rPr>
          <w:rFonts w:ascii="Times New Roman" w:hAnsi="Times New Roman"/>
          <w:sz w:val="24"/>
        </w:rPr>
        <w:t>confessional and national communities. P</w:t>
      </w:r>
      <w:r w:rsidR="00824EDF" w:rsidRPr="00100122">
        <w:rPr>
          <w:rFonts w:ascii="Times New Roman" w:hAnsi="Times New Roman"/>
          <w:sz w:val="24"/>
        </w:rPr>
        <w:t>rophecy</w:t>
      </w:r>
      <w:r w:rsidR="00FB0CFD" w:rsidRPr="00100122">
        <w:rPr>
          <w:rFonts w:ascii="Times New Roman" w:hAnsi="Times New Roman"/>
          <w:sz w:val="24"/>
        </w:rPr>
        <w:t xml:space="preserve"> and</w:t>
      </w:r>
      <w:r w:rsidR="00824EDF" w:rsidRPr="00100122">
        <w:rPr>
          <w:rFonts w:ascii="Times New Roman" w:hAnsi="Times New Roman"/>
          <w:sz w:val="24"/>
        </w:rPr>
        <w:t xml:space="preserve"> its language of election </w:t>
      </w:r>
      <w:r w:rsidR="00426FE4" w:rsidRPr="00100122">
        <w:rPr>
          <w:rFonts w:ascii="Times New Roman" w:hAnsi="Times New Roman"/>
          <w:sz w:val="24"/>
        </w:rPr>
        <w:t xml:space="preserve">thus </w:t>
      </w:r>
      <w:r w:rsidR="00824EDF" w:rsidRPr="00100122">
        <w:rPr>
          <w:rFonts w:ascii="Times New Roman" w:hAnsi="Times New Roman"/>
          <w:sz w:val="24"/>
        </w:rPr>
        <w:t xml:space="preserve">gave female </w:t>
      </w:r>
      <w:r w:rsidR="00426FE4" w:rsidRPr="00100122">
        <w:rPr>
          <w:rFonts w:ascii="Times New Roman" w:hAnsi="Times New Roman"/>
          <w:sz w:val="24"/>
        </w:rPr>
        <w:t>dissenters</w:t>
      </w:r>
      <w:r w:rsidR="00824EDF" w:rsidRPr="00100122">
        <w:rPr>
          <w:rFonts w:ascii="Times New Roman" w:hAnsi="Times New Roman"/>
          <w:sz w:val="24"/>
        </w:rPr>
        <w:t xml:space="preserve"> the opportunity to respond to and re-envision the various religious and </w:t>
      </w:r>
      <w:r w:rsidR="00FF400A" w:rsidRPr="00100122">
        <w:rPr>
          <w:rFonts w:ascii="Times New Roman" w:hAnsi="Times New Roman"/>
          <w:sz w:val="24"/>
        </w:rPr>
        <w:t>civic</w:t>
      </w:r>
      <w:r w:rsidR="00824EDF" w:rsidRPr="00100122">
        <w:rPr>
          <w:rFonts w:ascii="Times New Roman" w:hAnsi="Times New Roman"/>
          <w:sz w:val="24"/>
        </w:rPr>
        <w:t xml:space="preserve"> communities </w:t>
      </w:r>
      <w:r w:rsidR="00426FE4" w:rsidRPr="00100122">
        <w:rPr>
          <w:rFonts w:ascii="Times New Roman" w:hAnsi="Times New Roman"/>
          <w:sz w:val="24"/>
        </w:rPr>
        <w:t>with which they engaged</w:t>
      </w:r>
      <w:r w:rsidR="00824EDF" w:rsidRPr="00100122">
        <w:rPr>
          <w:rFonts w:ascii="Times New Roman" w:hAnsi="Times New Roman"/>
          <w:sz w:val="24"/>
        </w:rPr>
        <w:t>.</w:t>
      </w:r>
      <w:r w:rsidR="003C2A53" w:rsidRPr="00100122">
        <w:rPr>
          <w:rFonts w:ascii="Times New Roman" w:hAnsi="Times New Roman"/>
          <w:sz w:val="24"/>
        </w:rPr>
        <w:t xml:space="preserve"> </w:t>
      </w:r>
      <w:r w:rsidR="007E18C3" w:rsidRPr="00100122">
        <w:rPr>
          <w:rFonts w:ascii="Times New Roman" w:hAnsi="Times New Roman"/>
          <w:sz w:val="24"/>
        </w:rPr>
        <w:t xml:space="preserve">This task </w:t>
      </w:r>
      <w:r w:rsidR="0042129C" w:rsidRPr="00100122">
        <w:rPr>
          <w:rFonts w:ascii="Times New Roman" w:hAnsi="Times New Roman"/>
          <w:sz w:val="24"/>
        </w:rPr>
        <w:t>has also demanded</w:t>
      </w:r>
      <w:r w:rsidR="007E18C3" w:rsidRPr="00100122">
        <w:rPr>
          <w:rFonts w:ascii="Times New Roman" w:hAnsi="Times New Roman"/>
          <w:sz w:val="24"/>
        </w:rPr>
        <w:t xml:space="preserve"> </w:t>
      </w:r>
      <w:r w:rsidR="0042129C" w:rsidRPr="00100122">
        <w:rPr>
          <w:rFonts w:ascii="Times New Roman" w:hAnsi="Times New Roman"/>
          <w:sz w:val="24"/>
        </w:rPr>
        <w:t xml:space="preserve">a </w:t>
      </w:r>
      <w:r w:rsidR="00D51DBA" w:rsidRPr="00100122">
        <w:rPr>
          <w:rFonts w:ascii="Times New Roman" w:hAnsi="Times New Roman"/>
          <w:sz w:val="24"/>
        </w:rPr>
        <w:t>re</w:t>
      </w:r>
      <w:r w:rsidR="0042129C" w:rsidRPr="00100122">
        <w:rPr>
          <w:rFonts w:ascii="Times New Roman" w:hAnsi="Times New Roman"/>
          <w:sz w:val="24"/>
        </w:rPr>
        <w:t>consideration</w:t>
      </w:r>
      <w:r w:rsidR="007E18C3" w:rsidRPr="00100122">
        <w:rPr>
          <w:rFonts w:ascii="Times New Roman" w:hAnsi="Times New Roman"/>
          <w:sz w:val="24"/>
        </w:rPr>
        <w:t xml:space="preserve"> of </w:t>
      </w:r>
      <w:r w:rsidR="002F291B" w:rsidRPr="00100122">
        <w:rPr>
          <w:rFonts w:ascii="Times New Roman" w:hAnsi="Times New Roman"/>
          <w:sz w:val="24"/>
        </w:rPr>
        <w:t>the place of female prophets in</w:t>
      </w:r>
      <w:r w:rsidR="00813B3F" w:rsidRPr="00100122">
        <w:rPr>
          <w:rFonts w:ascii="Times New Roman" w:hAnsi="Times New Roman"/>
          <w:sz w:val="24"/>
        </w:rPr>
        <w:t xml:space="preserve"> the</w:t>
      </w:r>
      <w:r w:rsidR="002F291B" w:rsidRPr="00100122">
        <w:rPr>
          <w:rFonts w:ascii="Times New Roman" w:hAnsi="Times New Roman"/>
          <w:sz w:val="24"/>
        </w:rPr>
        <w:t xml:space="preserve"> religious networks</w:t>
      </w:r>
      <w:r w:rsidR="00813B3F" w:rsidRPr="00100122">
        <w:rPr>
          <w:rFonts w:ascii="Times New Roman" w:hAnsi="Times New Roman"/>
          <w:sz w:val="24"/>
        </w:rPr>
        <w:t xml:space="preserve"> that</w:t>
      </w:r>
      <w:r w:rsidR="001E362A" w:rsidRPr="00100122">
        <w:rPr>
          <w:rFonts w:ascii="Times New Roman" w:hAnsi="Times New Roman"/>
          <w:sz w:val="24"/>
        </w:rPr>
        <w:t xml:space="preserve"> predated</w:t>
      </w:r>
      <w:r w:rsidR="00813B3F" w:rsidRPr="00100122">
        <w:rPr>
          <w:rFonts w:ascii="Times New Roman" w:hAnsi="Times New Roman"/>
          <w:sz w:val="24"/>
        </w:rPr>
        <w:t xml:space="preserve"> the transatlantic revivals</w:t>
      </w:r>
      <w:r w:rsidR="002F291B" w:rsidRPr="00100122">
        <w:rPr>
          <w:rFonts w:ascii="Times New Roman" w:hAnsi="Times New Roman"/>
          <w:sz w:val="24"/>
        </w:rPr>
        <w:t xml:space="preserve">. </w:t>
      </w:r>
      <w:r w:rsidR="00824EDF" w:rsidRPr="00100122">
        <w:rPr>
          <w:rFonts w:ascii="Times New Roman" w:hAnsi="Times New Roman"/>
          <w:sz w:val="24"/>
        </w:rPr>
        <w:t xml:space="preserve">Scholars are </w:t>
      </w:r>
      <w:r w:rsidR="0056298B" w:rsidRPr="00100122">
        <w:rPr>
          <w:rFonts w:ascii="Times New Roman" w:hAnsi="Times New Roman"/>
          <w:sz w:val="24"/>
        </w:rPr>
        <w:t xml:space="preserve">just now </w:t>
      </w:r>
      <w:r w:rsidR="00824EDF" w:rsidRPr="00100122">
        <w:rPr>
          <w:rFonts w:ascii="Times New Roman" w:hAnsi="Times New Roman"/>
          <w:sz w:val="24"/>
        </w:rPr>
        <w:t xml:space="preserve">beginning to recognize the extent to which networks facilitated the development of the </w:t>
      </w:r>
      <w:r w:rsidR="00813B3F" w:rsidRPr="00100122">
        <w:rPr>
          <w:rFonts w:ascii="Times New Roman" w:hAnsi="Times New Roman"/>
          <w:sz w:val="24"/>
        </w:rPr>
        <w:t xml:space="preserve">early modern </w:t>
      </w:r>
      <w:r w:rsidR="00824EDF" w:rsidRPr="00100122">
        <w:rPr>
          <w:rFonts w:ascii="Times New Roman" w:hAnsi="Times New Roman"/>
          <w:sz w:val="24"/>
        </w:rPr>
        <w:t>Atlantic world</w:t>
      </w:r>
      <w:r w:rsidR="00D560D7" w:rsidRPr="00100122">
        <w:rPr>
          <w:rFonts w:ascii="Times New Roman" w:hAnsi="Times New Roman"/>
          <w:sz w:val="24"/>
        </w:rPr>
        <w:t xml:space="preserve"> as an</w:t>
      </w:r>
      <w:r w:rsidR="00F03A4F" w:rsidRPr="00100122">
        <w:rPr>
          <w:rFonts w:ascii="Times New Roman" w:hAnsi="Times New Roman"/>
          <w:sz w:val="24"/>
        </w:rPr>
        <w:t xml:space="preserve"> arena </w:t>
      </w:r>
      <w:r w:rsidR="00007CF1" w:rsidRPr="00100122">
        <w:rPr>
          <w:rFonts w:ascii="Times New Roman" w:hAnsi="Times New Roman"/>
          <w:sz w:val="24"/>
        </w:rPr>
        <w:t>made up of composite nations, religions, and social and economic systems.</w:t>
      </w:r>
      <w:r w:rsidR="002E3486" w:rsidRPr="00100122">
        <w:rPr>
          <w:rStyle w:val="FootnoteReference"/>
          <w:rFonts w:ascii="Times New Roman" w:hAnsi="Times New Roman"/>
          <w:sz w:val="24"/>
        </w:rPr>
        <w:footnoteReference w:id="26"/>
      </w:r>
      <w:r w:rsidR="00007CF1" w:rsidRPr="00100122">
        <w:rPr>
          <w:rFonts w:ascii="Times New Roman" w:hAnsi="Times New Roman"/>
          <w:sz w:val="24"/>
        </w:rPr>
        <w:t xml:space="preserve"> </w:t>
      </w:r>
      <w:r w:rsidR="00FF400A" w:rsidRPr="00100122">
        <w:rPr>
          <w:rFonts w:ascii="Times New Roman" w:hAnsi="Times New Roman"/>
          <w:sz w:val="24"/>
        </w:rPr>
        <w:t>F</w:t>
      </w:r>
      <w:r w:rsidR="00426FE4" w:rsidRPr="00100122">
        <w:rPr>
          <w:rFonts w:ascii="Times New Roman" w:hAnsi="Times New Roman"/>
          <w:sz w:val="24"/>
        </w:rPr>
        <w:t xml:space="preserve">emale prophets played a significant role as agents in the </w:t>
      </w:r>
      <w:r w:rsidR="002F291B" w:rsidRPr="00100122">
        <w:rPr>
          <w:rFonts w:ascii="Times New Roman" w:hAnsi="Times New Roman"/>
          <w:sz w:val="24"/>
        </w:rPr>
        <w:t xml:space="preserve">radical religious </w:t>
      </w:r>
      <w:r w:rsidR="00426FE4" w:rsidRPr="00100122">
        <w:rPr>
          <w:rFonts w:ascii="Times New Roman" w:hAnsi="Times New Roman"/>
          <w:sz w:val="24"/>
        </w:rPr>
        <w:t>networks that emerged throughout Europe and the Atlantic world</w:t>
      </w:r>
      <w:r w:rsidR="00FF400A" w:rsidRPr="00100122">
        <w:rPr>
          <w:rFonts w:ascii="Times New Roman" w:hAnsi="Times New Roman"/>
          <w:sz w:val="24"/>
        </w:rPr>
        <w:t xml:space="preserve"> in the seventeenth and early eighteenth centuries</w:t>
      </w:r>
      <w:r w:rsidR="00426FE4" w:rsidRPr="00100122">
        <w:rPr>
          <w:rFonts w:ascii="Times New Roman" w:hAnsi="Times New Roman"/>
          <w:sz w:val="24"/>
        </w:rPr>
        <w:t xml:space="preserve">. </w:t>
      </w:r>
      <w:r w:rsidR="001E362A" w:rsidRPr="00100122">
        <w:rPr>
          <w:rFonts w:ascii="Times New Roman" w:hAnsi="Times New Roman"/>
          <w:sz w:val="24"/>
        </w:rPr>
        <w:t>A</w:t>
      </w:r>
      <w:r w:rsidR="00EB7469" w:rsidRPr="00100122">
        <w:rPr>
          <w:rFonts w:ascii="Times New Roman" w:hAnsi="Times New Roman"/>
          <w:sz w:val="24"/>
        </w:rPr>
        <w:t>s wome</w:t>
      </w:r>
      <w:r w:rsidR="002A0D70" w:rsidRPr="00100122">
        <w:rPr>
          <w:rFonts w:ascii="Times New Roman" w:hAnsi="Times New Roman"/>
          <w:sz w:val="24"/>
        </w:rPr>
        <w:t xml:space="preserve">n and </w:t>
      </w:r>
      <w:r w:rsidR="001E362A" w:rsidRPr="00100122">
        <w:rPr>
          <w:rFonts w:ascii="Times New Roman" w:hAnsi="Times New Roman"/>
          <w:sz w:val="24"/>
        </w:rPr>
        <w:t>religious radical</w:t>
      </w:r>
      <w:r w:rsidR="00EB7469" w:rsidRPr="00100122">
        <w:rPr>
          <w:rFonts w:ascii="Times New Roman" w:hAnsi="Times New Roman"/>
          <w:sz w:val="24"/>
        </w:rPr>
        <w:t>s</w:t>
      </w:r>
      <w:r w:rsidR="001E362A" w:rsidRPr="00100122">
        <w:rPr>
          <w:rFonts w:ascii="Times New Roman" w:hAnsi="Times New Roman"/>
          <w:sz w:val="24"/>
        </w:rPr>
        <w:t>, female prophet</w:t>
      </w:r>
      <w:r w:rsidR="00EB7469" w:rsidRPr="00100122">
        <w:rPr>
          <w:rFonts w:ascii="Times New Roman" w:hAnsi="Times New Roman"/>
          <w:sz w:val="24"/>
        </w:rPr>
        <w:t>s</w:t>
      </w:r>
      <w:r w:rsidR="001E362A" w:rsidRPr="00100122">
        <w:rPr>
          <w:rFonts w:ascii="Times New Roman" w:hAnsi="Times New Roman"/>
          <w:sz w:val="24"/>
        </w:rPr>
        <w:t xml:space="preserve"> </w:t>
      </w:r>
      <w:r w:rsidR="002A0D70" w:rsidRPr="00100122">
        <w:rPr>
          <w:rFonts w:ascii="Times New Roman" w:hAnsi="Times New Roman"/>
          <w:sz w:val="24"/>
        </w:rPr>
        <w:t xml:space="preserve">remained on the </w:t>
      </w:r>
      <w:r w:rsidR="00D51DBA" w:rsidRPr="00100122">
        <w:rPr>
          <w:rFonts w:ascii="Times New Roman" w:hAnsi="Times New Roman"/>
          <w:sz w:val="24"/>
        </w:rPr>
        <w:t>margins</w:t>
      </w:r>
      <w:r w:rsidR="001E362A" w:rsidRPr="00100122">
        <w:rPr>
          <w:rFonts w:ascii="Times New Roman" w:hAnsi="Times New Roman"/>
          <w:sz w:val="24"/>
        </w:rPr>
        <w:t xml:space="preserve"> of society;</w:t>
      </w:r>
      <w:r w:rsidR="003D1362" w:rsidRPr="00100122">
        <w:rPr>
          <w:rFonts w:ascii="Times New Roman" w:hAnsi="Times New Roman"/>
          <w:sz w:val="24"/>
        </w:rPr>
        <w:t xml:space="preserve"> </w:t>
      </w:r>
      <w:r w:rsidR="00EB7469" w:rsidRPr="00100122">
        <w:rPr>
          <w:rFonts w:ascii="Times New Roman" w:hAnsi="Times New Roman"/>
          <w:sz w:val="24"/>
        </w:rPr>
        <w:t>their</w:t>
      </w:r>
      <w:r w:rsidR="002A0D70" w:rsidRPr="00100122">
        <w:rPr>
          <w:rFonts w:ascii="Times New Roman" w:hAnsi="Times New Roman"/>
          <w:sz w:val="24"/>
        </w:rPr>
        <w:t xml:space="preserve"> contributions to the </w:t>
      </w:r>
      <w:r w:rsidR="007778B6" w:rsidRPr="00100122">
        <w:rPr>
          <w:rFonts w:ascii="Times New Roman" w:hAnsi="Times New Roman"/>
          <w:sz w:val="24"/>
        </w:rPr>
        <w:t>development</w:t>
      </w:r>
      <w:r w:rsidR="002A0D70" w:rsidRPr="00100122">
        <w:rPr>
          <w:rFonts w:ascii="Times New Roman" w:hAnsi="Times New Roman"/>
          <w:sz w:val="24"/>
        </w:rPr>
        <w:t xml:space="preserve"> of the early modern Atlantic world </w:t>
      </w:r>
      <w:r w:rsidR="001E362A" w:rsidRPr="00100122">
        <w:rPr>
          <w:rFonts w:ascii="Times New Roman" w:hAnsi="Times New Roman"/>
          <w:sz w:val="24"/>
        </w:rPr>
        <w:t xml:space="preserve">and the religious and civic communities that </w:t>
      </w:r>
      <w:r w:rsidR="00D51DBA" w:rsidRPr="00100122">
        <w:rPr>
          <w:rFonts w:ascii="Times New Roman" w:hAnsi="Times New Roman"/>
          <w:sz w:val="24"/>
        </w:rPr>
        <w:t>composed</w:t>
      </w:r>
      <w:r w:rsidR="001E362A" w:rsidRPr="00100122">
        <w:rPr>
          <w:rFonts w:ascii="Times New Roman" w:hAnsi="Times New Roman"/>
          <w:sz w:val="24"/>
        </w:rPr>
        <w:t xml:space="preserve"> it, however, </w:t>
      </w:r>
      <w:r w:rsidR="002A0D70" w:rsidRPr="00100122">
        <w:rPr>
          <w:rFonts w:ascii="Times New Roman" w:hAnsi="Times New Roman"/>
          <w:sz w:val="24"/>
        </w:rPr>
        <w:t xml:space="preserve">were </w:t>
      </w:r>
      <w:r w:rsidR="001E362A" w:rsidRPr="00100122">
        <w:rPr>
          <w:rFonts w:ascii="Times New Roman" w:hAnsi="Times New Roman"/>
          <w:sz w:val="24"/>
        </w:rPr>
        <w:t>far from</w:t>
      </w:r>
      <w:r w:rsidR="002A0D70" w:rsidRPr="00100122">
        <w:rPr>
          <w:rFonts w:ascii="Times New Roman" w:hAnsi="Times New Roman"/>
          <w:sz w:val="24"/>
        </w:rPr>
        <w:t xml:space="preserve"> peripheral.</w:t>
      </w:r>
    </w:p>
    <w:p w:rsidR="00982797" w:rsidRPr="00100122" w:rsidRDefault="00982797" w:rsidP="002A5F8A">
      <w:pPr>
        <w:spacing w:line="480" w:lineRule="auto"/>
        <w:rPr>
          <w:rFonts w:ascii="Times New Roman" w:hAnsi="Times New Roman"/>
          <w:sz w:val="24"/>
        </w:rPr>
      </w:pPr>
    </w:p>
    <w:sectPr w:rsidR="00982797" w:rsidRPr="00100122" w:rsidSect="006274D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2160" w:gutter="0"/>
      <w:pgNumType w:start="279"/>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20C" w:rsidRDefault="008D120C" w:rsidP="002A5F8A">
      <w:r>
        <w:separator/>
      </w:r>
    </w:p>
  </w:endnote>
  <w:endnote w:type="continuationSeparator" w:id="0">
    <w:p w:rsidR="008D120C" w:rsidRDefault="008D120C" w:rsidP="002A5F8A">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Palatino">
    <w:panose1 w:val="02000500000000000000"/>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20C" w:rsidRDefault="008D120C">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20C" w:rsidRDefault="008D120C">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20C" w:rsidRDefault="008D120C">
    <w:pPr>
      <w:pStyle w:val="Footer"/>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20C" w:rsidRDefault="008D120C" w:rsidP="002A5F8A">
      <w:r>
        <w:separator/>
      </w:r>
    </w:p>
  </w:footnote>
  <w:footnote w:type="continuationSeparator" w:id="0">
    <w:p w:rsidR="008D120C" w:rsidRDefault="008D120C" w:rsidP="002A5F8A">
      <w:r>
        <w:continuationSeparator/>
      </w:r>
    </w:p>
  </w:footnote>
  <w:footnote w:id="1">
    <w:p w:rsidR="008D120C" w:rsidRPr="00100122" w:rsidRDefault="008D120C" w:rsidP="00D23122">
      <w:pPr>
        <w:pStyle w:val="FootnoteText"/>
        <w:keepLines/>
        <w:ind w:left="288" w:hanging="288"/>
        <w:rPr>
          <w:rFonts w:ascii="Times New Roman" w:hAnsi="Times New Roman"/>
          <w:sz w:val="20"/>
          <w:szCs w:val="20"/>
        </w:rPr>
      </w:pPr>
      <w:r w:rsidRPr="00100122">
        <w:rPr>
          <w:rStyle w:val="FootnoteReference"/>
          <w:rFonts w:ascii="Times New Roman" w:hAnsi="Times New Roman"/>
          <w:sz w:val="20"/>
          <w:szCs w:val="20"/>
        </w:rPr>
        <w:footnoteRef/>
      </w:r>
      <w:r>
        <w:rPr>
          <w:rFonts w:ascii="Times New Roman" w:hAnsi="Times New Roman"/>
          <w:sz w:val="20"/>
          <w:szCs w:val="20"/>
        </w:rPr>
        <w:tab/>
      </w:r>
      <w:r w:rsidRPr="00100122">
        <w:rPr>
          <w:rFonts w:ascii="Times New Roman" w:hAnsi="Times New Roman"/>
          <w:sz w:val="20"/>
          <w:szCs w:val="20"/>
        </w:rPr>
        <w:t xml:space="preserve">Deborah Bell, </w:t>
      </w:r>
      <w:r w:rsidRPr="00100122">
        <w:rPr>
          <w:rFonts w:ascii="Times New Roman" w:hAnsi="Times New Roman"/>
          <w:i/>
          <w:sz w:val="20"/>
          <w:szCs w:val="20"/>
        </w:rPr>
        <w:t xml:space="preserve">A short journal of the </w:t>
      </w:r>
      <w:r w:rsidRPr="00100122">
        <w:rPr>
          <w:rStyle w:val="searchword"/>
          <w:rFonts w:ascii="Times New Roman" w:hAnsi="Times New Roman"/>
          <w:i/>
          <w:sz w:val="20"/>
          <w:szCs w:val="20"/>
        </w:rPr>
        <w:t>labours</w:t>
      </w:r>
      <w:r w:rsidRPr="00100122">
        <w:rPr>
          <w:rFonts w:ascii="Times New Roman" w:hAnsi="Times New Roman"/>
          <w:i/>
          <w:sz w:val="20"/>
          <w:szCs w:val="20"/>
        </w:rPr>
        <w:t xml:space="preserve"> and travels in the work of the ministry, of that faithful servant of Christ, </w:t>
      </w:r>
      <w:r w:rsidRPr="00100122">
        <w:rPr>
          <w:rStyle w:val="searchword"/>
          <w:rFonts w:ascii="Times New Roman" w:hAnsi="Times New Roman"/>
          <w:i/>
          <w:sz w:val="20"/>
          <w:szCs w:val="20"/>
        </w:rPr>
        <w:t>Deborah</w:t>
      </w:r>
      <w:r w:rsidRPr="00100122">
        <w:rPr>
          <w:rFonts w:ascii="Times New Roman" w:hAnsi="Times New Roman"/>
          <w:i/>
          <w:sz w:val="20"/>
          <w:szCs w:val="20"/>
        </w:rPr>
        <w:t xml:space="preserve"> </w:t>
      </w:r>
      <w:r w:rsidRPr="00100122">
        <w:rPr>
          <w:rStyle w:val="searchword"/>
          <w:rFonts w:ascii="Times New Roman" w:hAnsi="Times New Roman"/>
          <w:i/>
          <w:sz w:val="20"/>
          <w:szCs w:val="20"/>
        </w:rPr>
        <w:t>Bell</w:t>
      </w:r>
      <w:r w:rsidRPr="00100122">
        <w:rPr>
          <w:rStyle w:val="searchword"/>
          <w:rFonts w:ascii="Times New Roman" w:hAnsi="Times New Roman"/>
          <w:sz w:val="20"/>
          <w:szCs w:val="20"/>
        </w:rPr>
        <w:t xml:space="preserve"> (London, 1762); see also Margaret Fell Fox, </w:t>
      </w:r>
      <w:r w:rsidRPr="00100122">
        <w:rPr>
          <w:rFonts w:ascii="Times New Roman" w:hAnsi="Times New Roman"/>
          <w:i/>
          <w:sz w:val="20"/>
          <w:szCs w:val="20"/>
        </w:rPr>
        <w:t>Women's Speaking Justified</w:t>
      </w:r>
      <w:r w:rsidRPr="00100122">
        <w:rPr>
          <w:rFonts w:ascii="Times New Roman" w:hAnsi="Times New Roman"/>
          <w:sz w:val="20"/>
          <w:szCs w:val="20"/>
        </w:rPr>
        <w:t xml:space="preserve"> (London, 1667).</w:t>
      </w:r>
    </w:p>
  </w:footnote>
  <w:footnote w:id="2">
    <w:p w:rsidR="008D120C" w:rsidRPr="00100122" w:rsidRDefault="008D120C" w:rsidP="00D23122">
      <w:pPr>
        <w:pStyle w:val="FootnoteText"/>
        <w:keepLines/>
        <w:ind w:left="288" w:hanging="288"/>
        <w:rPr>
          <w:rFonts w:ascii="Times New Roman" w:hAnsi="Times New Roman"/>
          <w:sz w:val="20"/>
          <w:szCs w:val="20"/>
        </w:rPr>
      </w:pPr>
      <w:r w:rsidRPr="00100122">
        <w:rPr>
          <w:rStyle w:val="FootnoteReference"/>
          <w:rFonts w:ascii="Times New Roman" w:hAnsi="Times New Roman"/>
          <w:sz w:val="20"/>
          <w:szCs w:val="20"/>
        </w:rPr>
        <w:footnoteRef/>
      </w:r>
      <w:r>
        <w:rPr>
          <w:rFonts w:ascii="Times New Roman" w:hAnsi="Times New Roman"/>
          <w:sz w:val="20"/>
          <w:szCs w:val="20"/>
        </w:rPr>
        <w:tab/>
      </w:r>
      <w:r w:rsidRPr="00100122">
        <w:rPr>
          <w:rFonts w:ascii="Times New Roman" w:hAnsi="Times New Roman"/>
          <w:sz w:val="20"/>
          <w:szCs w:val="20"/>
        </w:rPr>
        <w:t xml:space="preserve">John Kelsall notes, for example, that Bell’s message at the meeting in Dolobran centered on exhorting parents to bring up their children in the fear of God and on following the “narrow way.” See Kelsall, “An Account of Friends Who Visited Dolobran, 1701-1712,” </w:t>
      </w:r>
      <w:r w:rsidRPr="00100122">
        <w:rPr>
          <w:rFonts w:ascii="Times New Roman" w:eastAsia="Times New Roman" w:hAnsi="Times New Roman" w:cs="Times New Roman"/>
          <w:sz w:val="20"/>
          <w:szCs w:val="20"/>
        </w:rPr>
        <w:t>MS Vol. S 193/4, pp. 176-79, Society of Friends Library, London.</w:t>
      </w:r>
    </w:p>
  </w:footnote>
  <w:footnote w:id="3">
    <w:p w:rsidR="008D120C" w:rsidRPr="00100122" w:rsidRDefault="008D120C" w:rsidP="00D23122">
      <w:pPr>
        <w:pStyle w:val="FootnoteText"/>
        <w:keepLines/>
        <w:ind w:left="288" w:hanging="288"/>
        <w:rPr>
          <w:rFonts w:ascii="Times New Roman" w:hAnsi="Times New Roman"/>
          <w:sz w:val="20"/>
          <w:szCs w:val="20"/>
        </w:rPr>
      </w:pPr>
      <w:r w:rsidRPr="00100122">
        <w:rPr>
          <w:rStyle w:val="FootnoteReference"/>
          <w:rFonts w:ascii="Times New Roman" w:hAnsi="Times New Roman"/>
          <w:sz w:val="20"/>
          <w:szCs w:val="20"/>
        </w:rPr>
        <w:footnoteRef/>
      </w:r>
      <w:r>
        <w:rPr>
          <w:rFonts w:ascii="Times New Roman" w:hAnsi="Times New Roman"/>
          <w:sz w:val="20"/>
          <w:szCs w:val="20"/>
        </w:rPr>
        <w:tab/>
      </w:r>
      <w:r w:rsidRPr="00100122">
        <w:rPr>
          <w:rFonts w:ascii="Times New Roman" w:hAnsi="Times New Roman"/>
          <w:sz w:val="20"/>
          <w:szCs w:val="20"/>
        </w:rPr>
        <w:t xml:space="preserve">See Mark R. Bell, </w:t>
      </w:r>
      <w:r w:rsidRPr="00100122">
        <w:rPr>
          <w:rFonts w:ascii="Times New Roman" w:hAnsi="Times New Roman"/>
          <w:i/>
          <w:sz w:val="20"/>
          <w:szCs w:val="20"/>
        </w:rPr>
        <w:t>Apocalypse How?: Baptist Movements During the English Revolution</w:t>
      </w:r>
      <w:r w:rsidRPr="00100122">
        <w:rPr>
          <w:rFonts w:ascii="Times New Roman" w:hAnsi="Times New Roman"/>
          <w:sz w:val="20"/>
          <w:szCs w:val="20"/>
        </w:rPr>
        <w:t xml:space="preserve"> (Macon, GA: Mercer University Press, 2000).</w:t>
      </w:r>
    </w:p>
  </w:footnote>
  <w:footnote w:id="4">
    <w:p w:rsidR="008D120C" w:rsidRPr="00100122" w:rsidRDefault="008D120C" w:rsidP="00D23122">
      <w:pPr>
        <w:pStyle w:val="FootnoteText"/>
        <w:keepLines/>
        <w:ind w:left="288" w:hanging="288"/>
        <w:rPr>
          <w:rFonts w:ascii="Times New Roman" w:hAnsi="Times New Roman"/>
          <w:sz w:val="20"/>
          <w:szCs w:val="20"/>
        </w:rPr>
      </w:pPr>
      <w:r w:rsidRPr="00100122">
        <w:rPr>
          <w:rStyle w:val="FootnoteReference"/>
          <w:rFonts w:ascii="Times New Roman" w:hAnsi="Times New Roman"/>
          <w:sz w:val="20"/>
          <w:szCs w:val="20"/>
        </w:rPr>
        <w:footnoteRef/>
      </w:r>
      <w:r>
        <w:rPr>
          <w:rFonts w:ascii="Times New Roman" w:hAnsi="Times New Roman"/>
          <w:sz w:val="20"/>
          <w:szCs w:val="20"/>
        </w:rPr>
        <w:tab/>
      </w:r>
      <w:r w:rsidRPr="00100122">
        <w:rPr>
          <w:rFonts w:ascii="Times New Roman" w:hAnsi="Times New Roman"/>
          <w:sz w:val="20"/>
          <w:szCs w:val="20"/>
        </w:rPr>
        <w:t xml:space="preserve">See Trevor Saxby, </w:t>
      </w:r>
      <w:r w:rsidRPr="00100122">
        <w:rPr>
          <w:rFonts w:ascii="Times New Roman" w:hAnsi="Times New Roman"/>
          <w:i/>
          <w:sz w:val="20"/>
          <w:szCs w:val="20"/>
        </w:rPr>
        <w:t>The Quest for the New Jerusalem, Jean de Labadie and the Labadists, 1610-1730</w:t>
      </w:r>
      <w:r w:rsidRPr="00100122">
        <w:rPr>
          <w:rFonts w:ascii="Times New Roman" w:hAnsi="Times New Roman"/>
          <w:sz w:val="20"/>
          <w:szCs w:val="20"/>
        </w:rPr>
        <w:t xml:space="preserve"> (Boston: M. Ni</w:t>
      </w:r>
      <w:r>
        <w:rPr>
          <w:rFonts w:ascii="Times New Roman" w:hAnsi="Times New Roman"/>
          <w:sz w:val="20"/>
          <w:szCs w:val="20"/>
        </w:rPr>
        <w:t xml:space="preserve">jhoff Publishers, 1987), 313-336; </w:t>
      </w:r>
      <w:r w:rsidRPr="00100122">
        <w:rPr>
          <w:rFonts w:ascii="Times New Roman" w:hAnsi="Times New Roman"/>
          <w:sz w:val="20"/>
          <w:szCs w:val="20"/>
        </w:rPr>
        <w:t>Bartlett Burleigh</w:t>
      </w:r>
      <w:r>
        <w:rPr>
          <w:rFonts w:ascii="Times New Roman" w:hAnsi="Times New Roman"/>
          <w:sz w:val="20"/>
          <w:szCs w:val="20"/>
        </w:rPr>
        <w:t xml:space="preserve"> James, </w:t>
      </w:r>
      <w:r w:rsidRPr="00100122">
        <w:rPr>
          <w:rFonts w:ascii="Times New Roman" w:hAnsi="Times New Roman"/>
          <w:i/>
          <w:sz w:val="20"/>
          <w:szCs w:val="20"/>
        </w:rPr>
        <w:t>The Labadist Colony in Maryland</w:t>
      </w:r>
      <w:r>
        <w:rPr>
          <w:rFonts w:ascii="Times New Roman" w:hAnsi="Times New Roman"/>
          <w:sz w:val="20"/>
          <w:szCs w:val="20"/>
        </w:rPr>
        <w:t xml:space="preserve"> (</w:t>
      </w:r>
      <w:r w:rsidRPr="00100122">
        <w:rPr>
          <w:rFonts w:ascii="Times New Roman" w:hAnsi="Times New Roman"/>
          <w:sz w:val="20"/>
          <w:szCs w:val="20"/>
        </w:rPr>
        <w:t>Baltimore</w:t>
      </w:r>
      <w:r>
        <w:rPr>
          <w:rFonts w:ascii="Times New Roman" w:hAnsi="Times New Roman"/>
          <w:sz w:val="20"/>
          <w:szCs w:val="20"/>
        </w:rPr>
        <w:t>, MD</w:t>
      </w:r>
      <w:r w:rsidRPr="00100122">
        <w:rPr>
          <w:rFonts w:ascii="Times New Roman" w:hAnsi="Times New Roman"/>
          <w:sz w:val="20"/>
          <w:szCs w:val="20"/>
        </w:rPr>
        <w:t>: Johns Hopkins Press</w:t>
      </w:r>
      <w:r>
        <w:rPr>
          <w:rFonts w:ascii="Times New Roman" w:hAnsi="Times New Roman"/>
          <w:sz w:val="20"/>
          <w:szCs w:val="20"/>
        </w:rPr>
        <w:t xml:space="preserve">, 1899), </w:t>
      </w:r>
      <w:r w:rsidRPr="00100122">
        <w:rPr>
          <w:rFonts w:ascii="Times New Roman" w:hAnsi="Times New Roman"/>
          <w:sz w:val="20"/>
          <w:szCs w:val="20"/>
        </w:rPr>
        <w:t>40</w:t>
      </w:r>
      <w:r>
        <w:rPr>
          <w:rFonts w:ascii="Times New Roman" w:hAnsi="Times New Roman"/>
          <w:sz w:val="20"/>
          <w:szCs w:val="20"/>
        </w:rPr>
        <w:t>.</w:t>
      </w:r>
    </w:p>
  </w:footnote>
  <w:footnote w:id="5">
    <w:p w:rsidR="008D120C" w:rsidRPr="00100122" w:rsidRDefault="008D120C" w:rsidP="00D23122">
      <w:pPr>
        <w:pStyle w:val="FootnoteText"/>
        <w:keepLines/>
        <w:ind w:left="288" w:hanging="288"/>
        <w:rPr>
          <w:rFonts w:ascii="Times New Roman" w:hAnsi="Times New Roman"/>
          <w:sz w:val="20"/>
          <w:szCs w:val="20"/>
        </w:rPr>
      </w:pPr>
      <w:r w:rsidRPr="00100122">
        <w:rPr>
          <w:rStyle w:val="FootnoteReference"/>
          <w:rFonts w:ascii="Times New Roman" w:hAnsi="Times New Roman"/>
          <w:sz w:val="20"/>
          <w:szCs w:val="20"/>
        </w:rPr>
        <w:footnoteRef/>
      </w:r>
      <w:r>
        <w:rPr>
          <w:rFonts w:ascii="Times New Roman" w:hAnsi="Times New Roman"/>
          <w:sz w:val="20"/>
          <w:szCs w:val="20"/>
        </w:rPr>
        <w:tab/>
      </w:r>
      <w:r w:rsidRPr="00100122">
        <w:rPr>
          <w:rFonts w:ascii="Times New Roman" w:hAnsi="Times New Roman"/>
          <w:sz w:val="20"/>
          <w:szCs w:val="20"/>
        </w:rPr>
        <w:t xml:space="preserve">Hillel Schwartz, </w:t>
      </w:r>
      <w:r w:rsidRPr="00100122">
        <w:rPr>
          <w:rFonts w:ascii="Times New Roman" w:hAnsi="Times New Roman"/>
          <w:i/>
          <w:sz w:val="20"/>
          <w:szCs w:val="20"/>
        </w:rPr>
        <w:t>The French Prophets in England: A Social History of a Millenarian Group in the Early Eighteenth Century</w:t>
      </w:r>
      <w:r w:rsidRPr="00100122">
        <w:rPr>
          <w:rFonts w:ascii="Times New Roman" w:hAnsi="Times New Roman"/>
          <w:sz w:val="20"/>
          <w:szCs w:val="20"/>
        </w:rPr>
        <w:t xml:space="preserve"> (Berkeley: The University of California Press, 1980), 285.</w:t>
      </w:r>
    </w:p>
  </w:footnote>
  <w:footnote w:id="6">
    <w:p w:rsidR="008D120C" w:rsidRPr="00100122" w:rsidRDefault="008D120C" w:rsidP="00D23122">
      <w:pPr>
        <w:pStyle w:val="FootnoteText"/>
        <w:keepLines/>
        <w:ind w:left="288" w:hanging="288"/>
        <w:rPr>
          <w:rFonts w:ascii="Times New Roman" w:hAnsi="Times New Roman"/>
          <w:sz w:val="20"/>
          <w:szCs w:val="20"/>
        </w:rPr>
      </w:pPr>
      <w:r w:rsidRPr="00100122">
        <w:rPr>
          <w:rStyle w:val="FootnoteReference"/>
          <w:rFonts w:ascii="Times New Roman" w:hAnsi="Times New Roman"/>
          <w:sz w:val="20"/>
          <w:szCs w:val="20"/>
        </w:rPr>
        <w:footnoteRef/>
      </w:r>
      <w:r>
        <w:rPr>
          <w:rFonts w:ascii="Times New Roman" w:hAnsi="Times New Roman"/>
          <w:sz w:val="20"/>
          <w:szCs w:val="20"/>
        </w:rPr>
        <w:tab/>
      </w:r>
      <w:r w:rsidRPr="00100122">
        <w:rPr>
          <w:rFonts w:ascii="Times New Roman" w:hAnsi="Times New Roman"/>
          <w:sz w:val="20"/>
          <w:szCs w:val="20"/>
        </w:rPr>
        <w:t xml:space="preserve">With the exception of Buttlar (d. 1721), whose group started around 1700, most of these women flourished as prophets in the late seventeenth century. See Judd Stitziel, “God, the Devil, Medicine, and the Word: A Controversy over Ecstatic Women in Protestant Middle Germany 1691-1693,” </w:t>
      </w:r>
      <w:r w:rsidRPr="00100122">
        <w:rPr>
          <w:rFonts w:ascii="Times New Roman" w:hAnsi="Times New Roman"/>
          <w:i/>
          <w:sz w:val="20"/>
          <w:szCs w:val="20"/>
        </w:rPr>
        <w:t>Central European History</w:t>
      </w:r>
      <w:r w:rsidRPr="00100122">
        <w:rPr>
          <w:rFonts w:ascii="Times New Roman" w:hAnsi="Times New Roman"/>
          <w:sz w:val="20"/>
          <w:szCs w:val="20"/>
        </w:rPr>
        <w:t xml:space="preserve"> 29, no. 3 (1996): 309-337.</w:t>
      </w:r>
    </w:p>
  </w:footnote>
  <w:footnote w:id="7">
    <w:p w:rsidR="008D120C" w:rsidRPr="00100122" w:rsidRDefault="008D120C" w:rsidP="00D23122">
      <w:pPr>
        <w:pStyle w:val="FootnoteText"/>
        <w:keepLines/>
        <w:ind w:left="288" w:hanging="288"/>
        <w:rPr>
          <w:rFonts w:ascii="Times New Roman" w:hAnsi="Times New Roman"/>
          <w:sz w:val="20"/>
          <w:szCs w:val="20"/>
        </w:rPr>
      </w:pPr>
      <w:r w:rsidRPr="00100122">
        <w:rPr>
          <w:rStyle w:val="FootnoteReference"/>
          <w:rFonts w:ascii="Times New Roman" w:hAnsi="Times New Roman"/>
          <w:sz w:val="20"/>
          <w:szCs w:val="20"/>
        </w:rPr>
        <w:footnoteRef/>
      </w:r>
      <w:r>
        <w:rPr>
          <w:rFonts w:ascii="Times New Roman" w:hAnsi="Times New Roman"/>
          <w:sz w:val="20"/>
          <w:szCs w:val="20"/>
        </w:rPr>
        <w:tab/>
      </w:r>
      <w:r w:rsidRPr="00100122">
        <w:rPr>
          <w:rFonts w:ascii="Times New Roman" w:hAnsi="Times New Roman"/>
          <w:sz w:val="20"/>
          <w:szCs w:val="20"/>
        </w:rPr>
        <w:t xml:space="preserve">As Jon Butler proposes, the transatlantic revivals were “part of a long-term pattern of erratic movements for spiritual renewal and revival that had long characterized Western Christianity and Protestantism since its birth two centuries earlier.” See Butler, “Enthusiasm Described and Decried: The Great Awakening as Interpretative Fiction,” </w:t>
      </w:r>
      <w:r w:rsidRPr="00100122">
        <w:rPr>
          <w:rFonts w:ascii="Times New Roman" w:hAnsi="Times New Roman"/>
          <w:i/>
          <w:sz w:val="20"/>
          <w:szCs w:val="20"/>
        </w:rPr>
        <w:t>The Journal of American History</w:t>
      </w:r>
      <w:r w:rsidRPr="00100122">
        <w:rPr>
          <w:rFonts w:ascii="Times New Roman" w:hAnsi="Times New Roman"/>
          <w:sz w:val="20"/>
          <w:szCs w:val="20"/>
        </w:rPr>
        <w:t xml:space="preserve"> 69, no. 2 (1982): 323.</w:t>
      </w:r>
    </w:p>
  </w:footnote>
  <w:footnote w:id="8">
    <w:p w:rsidR="008D120C" w:rsidRPr="00100122" w:rsidRDefault="008D120C" w:rsidP="00D23122">
      <w:pPr>
        <w:pStyle w:val="FootnoteText"/>
        <w:keepLines/>
        <w:ind w:left="288" w:hanging="288"/>
        <w:rPr>
          <w:rFonts w:ascii="Times New Roman" w:hAnsi="Times New Roman"/>
          <w:sz w:val="20"/>
          <w:szCs w:val="20"/>
        </w:rPr>
      </w:pPr>
      <w:r w:rsidRPr="00100122">
        <w:rPr>
          <w:rStyle w:val="FootnoteReference"/>
          <w:rFonts w:ascii="Times New Roman" w:hAnsi="Times New Roman"/>
          <w:sz w:val="20"/>
          <w:szCs w:val="20"/>
        </w:rPr>
        <w:footnoteRef/>
      </w:r>
      <w:r>
        <w:rPr>
          <w:rFonts w:ascii="Times New Roman" w:hAnsi="Times New Roman"/>
          <w:sz w:val="20"/>
          <w:szCs w:val="20"/>
        </w:rPr>
        <w:tab/>
      </w:r>
      <w:r w:rsidRPr="00100122">
        <w:rPr>
          <w:rFonts w:ascii="Times New Roman" w:hAnsi="Times New Roman"/>
          <w:sz w:val="20"/>
          <w:szCs w:val="20"/>
        </w:rPr>
        <w:t>See Ibid.,323-24.</w:t>
      </w:r>
    </w:p>
  </w:footnote>
  <w:footnote w:id="9">
    <w:p w:rsidR="008D120C" w:rsidRPr="00100122" w:rsidRDefault="008D120C" w:rsidP="00D23122">
      <w:pPr>
        <w:keepLines/>
        <w:autoSpaceDE w:val="0"/>
        <w:autoSpaceDN w:val="0"/>
        <w:adjustRightInd w:val="0"/>
        <w:ind w:left="288" w:hanging="288"/>
        <w:rPr>
          <w:rFonts w:ascii="Times New Roman" w:hAnsi="Times New Roman"/>
          <w:sz w:val="20"/>
          <w:szCs w:val="20"/>
        </w:rPr>
      </w:pPr>
      <w:r w:rsidRPr="00100122">
        <w:rPr>
          <w:rStyle w:val="FootnoteReference"/>
          <w:rFonts w:ascii="Times New Roman" w:hAnsi="Times New Roman"/>
          <w:sz w:val="20"/>
          <w:szCs w:val="20"/>
        </w:rPr>
        <w:footnoteRef/>
      </w:r>
      <w:r>
        <w:rPr>
          <w:rFonts w:ascii="Times New Roman" w:hAnsi="Times New Roman"/>
          <w:sz w:val="20"/>
          <w:szCs w:val="20"/>
        </w:rPr>
        <w:tab/>
      </w:r>
      <w:r w:rsidRPr="00100122">
        <w:rPr>
          <w:rFonts w:ascii="Times New Roman" w:hAnsi="Times New Roman"/>
          <w:sz w:val="20"/>
          <w:szCs w:val="20"/>
        </w:rPr>
        <w:t xml:space="preserve">On religion and the public sphere during the Great Awakening see T. H. Breen, “Retrieving Common Sense: Rights, Liberties, and the Religious Public Sphere in Late Eighteenth Century America,” in </w:t>
      </w:r>
      <w:r w:rsidRPr="00100122">
        <w:rPr>
          <w:rFonts w:ascii="Times New Roman" w:hAnsi="Times New Roman"/>
          <w:i/>
          <w:iCs/>
          <w:sz w:val="20"/>
          <w:szCs w:val="20"/>
        </w:rPr>
        <w:t xml:space="preserve">To Secure the Blessings of Liberty: Rights in American History, </w:t>
      </w:r>
      <w:r w:rsidRPr="00100122">
        <w:rPr>
          <w:rFonts w:ascii="Times New Roman" w:hAnsi="Times New Roman"/>
          <w:sz w:val="20"/>
          <w:szCs w:val="20"/>
        </w:rPr>
        <w:t xml:space="preserve">ed. Josephine Pacheco (Fairfax, VA: George Mason University Press, 1993), 60; Frank Lambert, </w:t>
      </w:r>
      <w:r w:rsidRPr="00100122">
        <w:rPr>
          <w:rFonts w:ascii="Times New Roman" w:hAnsi="Times New Roman"/>
          <w:i/>
          <w:iCs/>
          <w:sz w:val="20"/>
          <w:szCs w:val="20"/>
        </w:rPr>
        <w:t xml:space="preserve">Pedlar in Divinity: George Whitefield and the Transatlantic Revivals, 1737-1770 </w:t>
      </w:r>
      <w:r w:rsidRPr="00100122">
        <w:rPr>
          <w:rFonts w:ascii="Times New Roman" w:hAnsi="Times New Roman"/>
          <w:sz w:val="20"/>
          <w:szCs w:val="20"/>
        </w:rPr>
        <w:t>(Princeton, NJ: Princeton University Press, 1994), 171.</w:t>
      </w:r>
    </w:p>
  </w:footnote>
  <w:footnote w:id="10">
    <w:p w:rsidR="008D120C" w:rsidRPr="00100122" w:rsidRDefault="008D120C" w:rsidP="00D23122">
      <w:pPr>
        <w:pStyle w:val="FootnoteText"/>
        <w:keepLines/>
        <w:ind w:left="288" w:hanging="288"/>
        <w:rPr>
          <w:rFonts w:ascii="Times New Roman" w:hAnsi="Times New Roman"/>
          <w:sz w:val="20"/>
          <w:szCs w:val="20"/>
        </w:rPr>
      </w:pPr>
      <w:r w:rsidRPr="00100122">
        <w:rPr>
          <w:rStyle w:val="FootnoteReference"/>
          <w:rFonts w:ascii="Times New Roman" w:hAnsi="Times New Roman"/>
          <w:sz w:val="20"/>
          <w:szCs w:val="20"/>
        </w:rPr>
        <w:footnoteRef/>
      </w:r>
      <w:r>
        <w:rPr>
          <w:rFonts w:ascii="Times New Roman" w:hAnsi="Times New Roman"/>
          <w:sz w:val="20"/>
          <w:szCs w:val="20"/>
        </w:rPr>
        <w:tab/>
      </w:r>
      <w:r w:rsidRPr="00100122">
        <w:rPr>
          <w:rFonts w:ascii="Times New Roman" w:hAnsi="Times New Roman"/>
          <w:sz w:val="20"/>
          <w:szCs w:val="20"/>
        </w:rPr>
        <w:t>On the Philadelphians and election, see Chapter Four</w:t>
      </w:r>
      <w:r>
        <w:rPr>
          <w:rFonts w:ascii="Times New Roman" w:hAnsi="Times New Roman"/>
          <w:sz w:val="20"/>
          <w:szCs w:val="20"/>
        </w:rPr>
        <w:t xml:space="preserve"> </w:t>
      </w:r>
      <w:r w:rsidRPr="00100122">
        <w:rPr>
          <w:rFonts w:ascii="Times New Roman" w:hAnsi="Times New Roman"/>
          <w:sz w:val="20"/>
          <w:szCs w:val="20"/>
        </w:rPr>
        <w:t>of this dissertation.</w:t>
      </w:r>
    </w:p>
  </w:footnote>
  <w:footnote w:id="11">
    <w:p w:rsidR="008D120C" w:rsidRPr="00100122" w:rsidRDefault="008D120C" w:rsidP="00D23122">
      <w:pPr>
        <w:pStyle w:val="sdfootnote"/>
        <w:keepLines/>
        <w:spacing w:before="2"/>
        <w:rPr>
          <w:rFonts w:ascii="Times New Roman" w:hAnsi="Times New Roman" w:cs="Times New Roman"/>
        </w:rPr>
      </w:pPr>
      <w:r w:rsidRPr="00100122">
        <w:rPr>
          <w:rStyle w:val="FootnoteReference"/>
          <w:rFonts w:ascii="Times New Roman" w:hAnsi="Times New Roman"/>
        </w:rPr>
        <w:footnoteRef/>
      </w:r>
      <w:r>
        <w:rPr>
          <w:rFonts w:ascii="Times New Roman" w:hAnsi="Times New Roman"/>
        </w:rPr>
        <w:tab/>
      </w:r>
      <w:r w:rsidRPr="00100122">
        <w:rPr>
          <w:rFonts w:ascii="Times New Roman" w:hAnsi="Times New Roman" w:cs="Times New Roman"/>
          <w:color w:val="000000"/>
        </w:rPr>
        <w:t xml:space="preserve">[Philadelphian Society], </w:t>
      </w:r>
      <w:r w:rsidRPr="00100122">
        <w:rPr>
          <w:rFonts w:ascii="Times New Roman" w:hAnsi="Times New Roman" w:cs="Times New Roman"/>
          <w:i/>
          <w:color w:val="000000"/>
        </w:rPr>
        <w:t xml:space="preserve">Theosophical Transactions by the Philadelphian Society Consisting of Memoirs, Letters, Dissertations, Inquiries, etc., vol. 1 </w:t>
      </w:r>
      <w:r w:rsidRPr="00100122">
        <w:rPr>
          <w:rFonts w:ascii="Times New Roman" w:hAnsi="Times New Roman" w:cs="Times New Roman"/>
          <w:color w:val="000000"/>
        </w:rPr>
        <w:t>(London, July and August 1697),</w:t>
      </w:r>
      <w:r w:rsidRPr="00100122">
        <w:rPr>
          <w:rFonts w:ascii="Times New Roman" w:hAnsi="Times New Roman"/>
        </w:rPr>
        <w:t xml:space="preserve"> 53.</w:t>
      </w:r>
    </w:p>
  </w:footnote>
  <w:footnote w:id="12">
    <w:p w:rsidR="008D120C" w:rsidRPr="00100122" w:rsidRDefault="008D120C" w:rsidP="00D23122">
      <w:pPr>
        <w:pStyle w:val="FootnoteText"/>
        <w:keepLines/>
        <w:ind w:left="288" w:hanging="288"/>
        <w:rPr>
          <w:rFonts w:ascii="Times New Roman" w:hAnsi="Times New Roman"/>
          <w:sz w:val="20"/>
          <w:szCs w:val="20"/>
        </w:rPr>
      </w:pPr>
      <w:r w:rsidRPr="00100122">
        <w:rPr>
          <w:rStyle w:val="FootnoteReference"/>
          <w:rFonts w:ascii="Times New Roman" w:hAnsi="Times New Roman"/>
          <w:sz w:val="20"/>
          <w:szCs w:val="20"/>
        </w:rPr>
        <w:footnoteRef/>
      </w:r>
      <w:r>
        <w:rPr>
          <w:rFonts w:ascii="Times New Roman" w:hAnsi="Times New Roman"/>
          <w:sz w:val="20"/>
          <w:szCs w:val="20"/>
        </w:rPr>
        <w:tab/>
      </w:r>
      <w:r w:rsidRPr="00100122">
        <w:rPr>
          <w:rFonts w:ascii="Times New Roman" w:hAnsi="Times New Roman"/>
          <w:sz w:val="20"/>
          <w:szCs w:val="20"/>
        </w:rPr>
        <w:t xml:space="preserve">See Tony Claydon, </w:t>
      </w:r>
      <w:r w:rsidRPr="00100122">
        <w:rPr>
          <w:rFonts w:ascii="Times New Roman" w:hAnsi="Times New Roman"/>
          <w:i/>
          <w:sz w:val="20"/>
          <w:szCs w:val="20"/>
        </w:rPr>
        <w:t xml:space="preserve">William III and the Godly Revolution </w:t>
      </w:r>
      <w:r w:rsidRPr="00100122">
        <w:rPr>
          <w:rFonts w:ascii="Times New Roman" w:hAnsi="Times New Roman"/>
          <w:sz w:val="20"/>
          <w:szCs w:val="20"/>
        </w:rPr>
        <w:t>(Cambridge: Cambridge University Press, 1996); Ibid.</w:t>
      </w:r>
      <w:r w:rsidRPr="00100122">
        <w:rPr>
          <w:rFonts w:ascii="Times New Roman" w:hAnsi="Times New Roman"/>
          <w:i/>
          <w:sz w:val="20"/>
          <w:szCs w:val="20"/>
        </w:rPr>
        <w:t>, Europe and the Making of England, 1660-1760</w:t>
      </w:r>
      <w:r w:rsidRPr="00100122">
        <w:rPr>
          <w:rFonts w:ascii="Times New Roman" w:hAnsi="Times New Roman"/>
          <w:sz w:val="20"/>
          <w:szCs w:val="20"/>
        </w:rPr>
        <w:t xml:space="preserve"> (Cambridge: Cambridge University Press, 2007).</w:t>
      </w:r>
    </w:p>
  </w:footnote>
  <w:footnote w:id="13">
    <w:p w:rsidR="008D120C" w:rsidRPr="00100122" w:rsidRDefault="008D120C" w:rsidP="00D23122">
      <w:pPr>
        <w:pStyle w:val="FootnoteText"/>
        <w:keepLines/>
        <w:ind w:left="288" w:hanging="288"/>
        <w:rPr>
          <w:rFonts w:ascii="Times New Roman" w:hAnsi="Times New Roman"/>
          <w:sz w:val="20"/>
          <w:szCs w:val="20"/>
        </w:rPr>
      </w:pPr>
      <w:r w:rsidRPr="00100122">
        <w:rPr>
          <w:rStyle w:val="FootnoteReference"/>
          <w:rFonts w:ascii="Times New Roman" w:hAnsi="Times New Roman"/>
          <w:sz w:val="20"/>
          <w:szCs w:val="20"/>
        </w:rPr>
        <w:footnoteRef/>
      </w:r>
      <w:r>
        <w:rPr>
          <w:rFonts w:ascii="Times New Roman" w:hAnsi="Times New Roman"/>
          <w:sz w:val="20"/>
          <w:szCs w:val="20"/>
        </w:rPr>
        <w:tab/>
      </w:r>
      <w:r w:rsidRPr="00100122">
        <w:rPr>
          <w:rFonts w:ascii="Times New Roman" w:hAnsi="Times New Roman"/>
          <w:sz w:val="20"/>
          <w:szCs w:val="20"/>
        </w:rPr>
        <w:t xml:space="preserve">Bell, </w:t>
      </w:r>
      <w:r w:rsidRPr="00100122">
        <w:rPr>
          <w:rFonts w:ascii="Times New Roman" w:hAnsi="Times New Roman"/>
          <w:i/>
          <w:sz w:val="20"/>
          <w:szCs w:val="20"/>
        </w:rPr>
        <w:t>A short journal</w:t>
      </w:r>
      <w:r w:rsidRPr="00100122">
        <w:rPr>
          <w:rFonts w:ascii="Times New Roman" w:hAnsi="Times New Roman"/>
          <w:sz w:val="20"/>
          <w:szCs w:val="20"/>
        </w:rPr>
        <w:t>, 19.</w:t>
      </w:r>
    </w:p>
  </w:footnote>
  <w:footnote w:id="14">
    <w:p w:rsidR="008D120C" w:rsidRPr="00100122" w:rsidRDefault="008D120C" w:rsidP="00D23122">
      <w:pPr>
        <w:pStyle w:val="FootnoteText"/>
        <w:keepLines/>
        <w:ind w:left="288" w:hanging="288"/>
        <w:rPr>
          <w:rFonts w:ascii="Times New Roman" w:hAnsi="Times New Roman"/>
          <w:sz w:val="20"/>
          <w:szCs w:val="20"/>
        </w:rPr>
      </w:pPr>
      <w:r w:rsidRPr="00100122">
        <w:rPr>
          <w:rStyle w:val="FootnoteReference"/>
          <w:rFonts w:ascii="Times New Roman" w:hAnsi="Times New Roman"/>
          <w:sz w:val="20"/>
          <w:szCs w:val="20"/>
        </w:rPr>
        <w:footnoteRef/>
      </w:r>
      <w:r>
        <w:rPr>
          <w:rFonts w:ascii="Times New Roman" w:hAnsi="Times New Roman"/>
          <w:sz w:val="20"/>
          <w:szCs w:val="20"/>
        </w:rPr>
        <w:tab/>
      </w:r>
      <w:r w:rsidR="000655DA">
        <w:rPr>
          <w:rFonts w:ascii="Times New Roman" w:hAnsi="Times New Roman"/>
          <w:sz w:val="20"/>
          <w:szCs w:val="20"/>
        </w:rPr>
        <w:t>F</w:t>
      </w:r>
      <w:r w:rsidRPr="00100122">
        <w:rPr>
          <w:rFonts w:ascii="Times New Roman" w:hAnsi="Times New Roman"/>
          <w:sz w:val="20"/>
          <w:szCs w:val="20"/>
        </w:rPr>
        <w:t>or radical religionists such as the prophets considered here, religious beliefs dictated social lives</w:t>
      </w:r>
      <w:r>
        <w:rPr>
          <w:rFonts w:ascii="Times New Roman" w:hAnsi="Times New Roman"/>
          <w:sz w:val="20"/>
          <w:szCs w:val="20"/>
        </w:rPr>
        <w:t xml:space="preserve"> to the point that they</w:t>
      </w:r>
      <w:r w:rsidRPr="00100122">
        <w:rPr>
          <w:rFonts w:ascii="Times New Roman" w:hAnsi="Times New Roman"/>
          <w:sz w:val="20"/>
          <w:szCs w:val="20"/>
        </w:rPr>
        <w:t xml:space="preserve"> were </w:t>
      </w:r>
      <w:r>
        <w:rPr>
          <w:rFonts w:ascii="Times New Roman" w:hAnsi="Times New Roman"/>
          <w:sz w:val="20"/>
          <w:szCs w:val="20"/>
        </w:rPr>
        <w:t>a</w:t>
      </w:r>
      <w:r w:rsidRPr="00100122">
        <w:rPr>
          <w:rFonts w:ascii="Times New Roman" w:hAnsi="Times New Roman"/>
          <w:sz w:val="20"/>
          <w:szCs w:val="20"/>
        </w:rPr>
        <w:t xml:space="preserve"> determining factor in how </w:t>
      </w:r>
      <w:r>
        <w:rPr>
          <w:rFonts w:ascii="Times New Roman" w:hAnsi="Times New Roman"/>
          <w:sz w:val="20"/>
          <w:szCs w:val="20"/>
        </w:rPr>
        <w:t>radical Protestants</w:t>
      </w:r>
      <w:r w:rsidRPr="00100122">
        <w:rPr>
          <w:rFonts w:ascii="Times New Roman" w:hAnsi="Times New Roman"/>
          <w:sz w:val="20"/>
          <w:szCs w:val="20"/>
        </w:rPr>
        <w:t xml:space="preserve"> performed gender.</w:t>
      </w:r>
    </w:p>
  </w:footnote>
  <w:footnote w:id="15">
    <w:p w:rsidR="008D120C" w:rsidRPr="00100122" w:rsidRDefault="008D120C" w:rsidP="00D23122">
      <w:pPr>
        <w:pStyle w:val="FootnoteText"/>
        <w:keepLines/>
        <w:ind w:left="288" w:hanging="288"/>
        <w:rPr>
          <w:rFonts w:ascii="Times New Roman" w:hAnsi="Times New Roman"/>
          <w:sz w:val="20"/>
          <w:szCs w:val="20"/>
        </w:rPr>
      </w:pPr>
      <w:r w:rsidRPr="00100122">
        <w:rPr>
          <w:rStyle w:val="FootnoteReference"/>
          <w:rFonts w:ascii="Times New Roman" w:hAnsi="Times New Roman"/>
          <w:sz w:val="20"/>
          <w:szCs w:val="20"/>
        </w:rPr>
        <w:footnoteRef/>
      </w:r>
      <w:r>
        <w:rPr>
          <w:rFonts w:ascii="Times New Roman" w:hAnsi="Times New Roman"/>
          <w:sz w:val="20"/>
          <w:szCs w:val="20"/>
        </w:rPr>
        <w:tab/>
      </w:r>
      <w:r w:rsidRPr="00100122">
        <w:rPr>
          <w:rFonts w:ascii="Times New Roman" w:hAnsi="Times New Roman"/>
          <w:sz w:val="20"/>
          <w:szCs w:val="20"/>
        </w:rPr>
        <w:t xml:space="preserve">Richard Roach, “Mr. Roach, a Philadelphian. His Answer to some queries,” Lambeth Palace MSS 942/141, p. 10, Lambeth Palace Library, London; Bell, </w:t>
      </w:r>
      <w:r w:rsidRPr="00100122">
        <w:rPr>
          <w:rFonts w:ascii="Times New Roman" w:hAnsi="Times New Roman"/>
          <w:i/>
          <w:sz w:val="20"/>
          <w:szCs w:val="20"/>
        </w:rPr>
        <w:t xml:space="preserve">A short journal, </w:t>
      </w:r>
      <w:r w:rsidRPr="00100122">
        <w:rPr>
          <w:rFonts w:ascii="Times New Roman" w:hAnsi="Times New Roman"/>
          <w:sz w:val="20"/>
          <w:szCs w:val="20"/>
        </w:rPr>
        <w:t>36.</w:t>
      </w:r>
    </w:p>
  </w:footnote>
  <w:footnote w:id="16">
    <w:p w:rsidR="008D120C" w:rsidRPr="00100122" w:rsidRDefault="008D120C" w:rsidP="00D23122">
      <w:pPr>
        <w:pStyle w:val="FootnoteText"/>
        <w:keepLines/>
        <w:ind w:left="288" w:hanging="288"/>
        <w:rPr>
          <w:rFonts w:ascii="Times New Roman" w:hAnsi="Times New Roman"/>
          <w:sz w:val="20"/>
          <w:szCs w:val="20"/>
        </w:rPr>
      </w:pPr>
      <w:r w:rsidRPr="00100122">
        <w:rPr>
          <w:rStyle w:val="FootnoteReference"/>
          <w:rFonts w:ascii="Times New Roman" w:hAnsi="Times New Roman"/>
          <w:sz w:val="20"/>
          <w:szCs w:val="20"/>
        </w:rPr>
        <w:footnoteRef/>
      </w:r>
      <w:r w:rsidRPr="00100122">
        <w:rPr>
          <w:rFonts w:ascii="Times New Roman" w:hAnsi="Times New Roman"/>
          <w:sz w:val="20"/>
          <w:szCs w:val="20"/>
        </w:rPr>
        <w:t xml:space="preserve"> </w:t>
      </w:r>
      <w:r>
        <w:rPr>
          <w:rFonts w:ascii="Times New Roman" w:hAnsi="Times New Roman"/>
          <w:sz w:val="20"/>
          <w:szCs w:val="20"/>
        </w:rPr>
        <w:tab/>
      </w:r>
      <w:r w:rsidRPr="00100122">
        <w:rPr>
          <w:rFonts w:ascii="Times New Roman" w:hAnsi="Times New Roman"/>
          <w:sz w:val="20"/>
          <w:szCs w:val="20"/>
        </w:rPr>
        <w:t>A few prophets in this study fall outside of this categorization. For the most part these were prophets who flourished at the beginning or end of the chronological parameters of this study. For example, Sarah Jessey, who prophesied in the 1640s, combined elements of the Civil War prophets with characteristics of female medieval mystics. See Chapter 1 of this dissertation.</w:t>
      </w:r>
    </w:p>
  </w:footnote>
  <w:footnote w:id="17">
    <w:p w:rsidR="008D120C" w:rsidRPr="00100122" w:rsidRDefault="008D120C" w:rsidP="00D23122">
      <w:pPr>
        <w:keepLines/>
        <w:ind w:left="288" w:hanging="288"/>
        <w:rPr>
          <w:rFonts w:ascii="Times New Roman" w:hAnsi="Times New Roman"/>
          <w:sz w:val="20"/>
          <w:szCs w:val="20"/>
        </w:rPr>
      </w:pPr>
      <w:r w:rsidRPr="00100122">
        <w:rPr>
          <w:rStyle w:val="FootnoteReference"/>
          <w:rFonts w:ascii="Times New Roman" w:hAnsi="Times New Roman"/>
          <w:sz w:val="20"/>
          <w:szCs w:val="20"/>
        </w:rPr>
        <w:footnoteRef/>
      </w:r>
      <w:r>
        <w:rPr>
          <w:rFonts w:ascii="Times New Roman" w:hAnsi="Times New Roman"/>
          <w:sz w:val="20"/>
          <w:szCs w:val="20"/>
        </w:rPr>
        <w:tab/>
      </w:r>
      <w:r w:rsidRPr="00100122">
        <w:rPr>
          <w:rFonts w:ascii="Times New Roman" w:hAnsi="Times New Roman"/>
          <w:sz w:val="20"/>
          <w:szCs w:val="20"/>
        </w:rPr>
        <w:t xml:space="preserve">For the most part, these groups embraced a more mystical eschatological framework than their mid seventeenth-century counterparts. For example, mystical elements were a central part of the millenarian beliefs of Eva von Buttlar, Kelpius’ Chapter of Perfection, Bourignon, and the Philadelphians. The Philadelphians went so far as to embrace a unitive mysticism, both in their nuptial imagery and in their imagery surrounding the belief in a universal restoration. Kelpius’ group </w:t>
      </w:r>
      <w:r>
        <w:rPr>
          <w:rFonts w:ascii="Times New Roman" w:hAnsi="Times New Roman"/>
          <w:sz w:val="20"/>
          <w:szCs w:val="20"/>
        </w:rPr>
        <w:t>traveled</w:t>
      </w:r>
      <w:r w:rsidRPr="00100122">
        <w:rPr>
          <w:rFonts w:ascii="Times New Roman" w:hAnsi="Times New Roman"/>
          <w:sz w:val="20"/>
          <w:szCs w:val="20"/>
        </w:rPr>
        <w:t xml:space="preserve"> to Pennsylvania to prepare for the millennium (which they believed would arrive in 1694), and they were influenced by the mysticism and esotericism of both Behmenism and Rosicrucianism.  On the mysticisim of the Philadelphians see Chapter Three of this dissertation. On Kelpius see Elizabeth W. Fisher, “’Prophesies and Revelations’: German Cabbalists in Early Pennsylvania, </w:t>
      </w:r>
      <w:r w:rsidRPr="00100122">
        <w:rPr>
          <w:rFonts w:ascii="Times New Roman" w:hAnsi="Times New Roman"/>
          <w:i/>
          <w:sz w:val="20"/>
          <w:szCs w:val="20"/>
        </w:rPr>
        <w:t xml:space="preserve">The Pennsylvania Magazine of History and Biography </w:t>
      </w:r>
      <w:r w:rsidRPr="00100122">
        <w:rPr>
          <w:rFonts w:ascii="Times New Roman" w:hAnsi="Times New Roman"/>
          <w:sz w:val="20"/>
          <w:szCs w:val="20"/>
        </w:rPr>
        <w:t>109, no. 3 (1985): 299-333.</w:t>
      </w:r>
    </w:p>
  </w:footnote>
  <w:footnote w:id="18">
    <w:p w:rsidR="008D120C" w:rsidRPr="00100122" w:rsidRDefault="008D120C" w:rsidP="00D23122">
      <w:pPr>
        <w:pStyle w:val="FootnoteText"/>
        <w:keepLines/>
        <w:ind w:left="288" w:hanging="288"/>
        <w:rPr>
          <w:rFonts w:ascii="Times New Roman" w:hAnsi="Times New Roman"/>
          <w:sz w:val="20"/>
          <w:szCs w:val="20"/>
        </w:rPr>
      </w:pPr>
      <w:r w:rsidRPr="00100122">
        <w:rPr>
          <w:rStyle w:val="FootnoteReference"/>
          <w:rFonts w:ascii="Times New Roman" w:hAnsi="Times New Roman"/>
          <w:sz w:val="20"/>
          <w:szCs w:val="20"/>
        </w:rPr>
        <w:footnoteRef/>
      </w:r>
      <w:r>
        <w:rPr>
          <w:rFonts w:ascii="Times New Roman" w:hAnsi="Times New Roman"/>
          <w:sz w:val="20"/>
          <w:szCs w:val="20"/>
        </w:rPr>
        <w:tab/>
      </w:r>
      <w:r w:rsidRPr="00100122">
        <w:rPr>
          <w:rFonts w:ascii="Times New Roman" w:hAnsi="Times New Roman"/>
          <w:sz w:val="20"/>
          <w:szCs w:val="20"/>
        </w:rPr>
        <w:t>Quakerism was not as specific about how the millennium would unfold as were some other sects that came out of the Civil Wars (i.e. the Fifth Monarchists who believed there would be an earthly rule of the elect). Early Quakers tended to focus on the present and the imminent future, which led them to develop the understanding that their age was one of great eschatological fulfillment. By the second generation, however, this intense focus had dissipated and Quakers began to see the Second Coming in a spiritual and inward light. They interpreted the events that eventually would unfold throughout all Creation—</w:t>
      </w:r>
      <w:r w:rsidRPr="00100122">
        <w:rPr>
          <w:rFonts w:ascii="Times New Roman" w:eastAsia="Times New Roman" w:hAnsi="Times New Roman" w:cs="Times New Roman"/>
          <w:sz w:val="20"/>
          <w:szCs w:val="20"/>
        </w:rPr>
        <w:t xml:space="preserve">revelation, judgment, purging and restoration—as first being enacted on the personal level among believers. See </w:t>
      </w:r>
      <w:r w:rsidRPr="00100122">
        <w:rPr>
          <w:rFonts w:ascii="Times New Roman" w:hAnsi="Times New Roman"/>
          <w:sz w:val="20"/>
          <w:szCs w:val="20"/>
        </w:rPr>
        <w:t xml:space="preserve">Catherine Wilcox, </w:t>
      </w:r>
      <w:r w:rsidRPr="00100122">
        <w:rPr>
          <w:rFonts w:ascii="Times New Roman" w:hAnsi="Times New Roman"/>
          <w:i/>
          <w:sz w:val="20"/>
          <w:szCs w:val="20"/>
        </w:rPr>
        <w:t>Theology and Women's Ministry in Seventeenth-Century English Quakerism</w:t>
      </w:r>
      <w:r w:rsidRPr="00100122">
        <w:rPr>
          <w:rFonts w:ascii="Times New Roman" w:hAnsi="Times New Roman"/>
          <w:sz w:val="20"/>
          <w:szCs w:val="20"/>
        </w:rPr>
        <w:t xml:space="preserve"> (Lewiston, NY: Edwin Mellen Press, 1995).</w:t>
      </w:r>
    </w:p>
  </w:footnote>
  <w:footnote w:id="19">
    <w:p w:rsidR="008D120C" w:rsidRPr="00100122" w:rsidRDefault="008D120C" w:rsidP="00D23122">
      <w:pPr>
        <w:pStyle w:val="FootnoteText"/>
        <w:keepLines/>
        <w:ind w:left="288" w:hanging="288"/>
        <w:rPr>
          <w:rFonts w:ascii="Times New Roman" w:hAnsi="Times New Roman"/>
          <w:sz w:val="20"/>
          <w:szCs w:val="20"/>
        </w:rPr>
      </w:pPr>
      <w:r w:rsidRPr="00100122">
        <w:rPr>
          <w:rStyle w:val="FootnoteReference"/>
          <w:rFonts w:ascii="Times New Roman" w:hAnsi="Times New Roman"/>
          <w:sz w:val="20"/>
          <w:szCs w:val="20"/>
        </w:rPr>
        <w:footnoteRef/>
      </w:r>
      <w:r>
        <w:rPr>
          <w:rFonts w:ascii="Times New Roman" w:hAnsi="Times New Roman"/>
          <w:sz w:val="20"/>
          <w:szCs w:val="20"/>
        </w:rPr>
        <w:tab/>
      </w:r>
      <w:r w:rsidRPr="00100122">
        <w:rPr>
          <w:rFonts w:ascii="Times New Roman" w:hAnsi="Times New Roman"/>
          <w:sz w:val="20"/>
          <w:szCs w:val="20"/>
        </w:rPr>
        <w:t xml:space="preserve">While some Quakers were familiar with Boehme, they tended to express disagreement with his theosophy. See B. J. Gibbons, </w:t>
      </w:r>
      <w:r w:rsidRPr="00100122">
        <w:rPr>
          <w:rFonts w:ascii="Times New Roman" w:hAnsi="Times New Roman"/>
          <w:i/>
          <w:sz w:val="20"/>
          <w:szCs w:val="20"/>
        </w:rPr>
        <w:t xml:space="preserve">Gender in Mystical and Occult Thought: Behmenism and its Development in England </w:t>
      </w:r>
      <w:r w:rsidRPr="00100122">
        <w:rPr>
          <w:rFonts w:ascii="Times New Roman" w:hAnsi="Times New Roman"/>
          <w:sz w:val="20"/>
          <w:szCs w:val="20"/>
        </w:rPr>
        <w:t>(New York: Cambridge University Press, 1996), 127-28.</w:t>
      </w:r>
    </w:p>
  </w:footnote>
  <w:footnote w:id="20">
    <w:p w:rsidR="008D120C" w:rsidRPr="00100122" w:rsidRDefault="008D120C" w:rsidP="00D23122">
      <w:pPr>
        <w:pStyle w:val="FootnoteText"/>
        <w:keepLines/>
        <w:ind w:left="288" w:hanging="288"/>
        <w:rPr>
          <w:rFonts w:ascii="Times New Roman" w:hAnsi="Times New Roman"/>
          <w:sz w:val="20"/>
          <w:szCs w:val="20"/>
        </w:rPr>
      </w:pPr>
      <w:r w:rsidRPr="00100122">
        <w:rPr>
          <w:rStyle w:val="FootnoteReference"/>
          <w:rFonts w:ascii="Times New Roman" w:hAnsi="Times New Roman"/>
          <w:sz w:val="20"/>
          <w:szCs w:val="20"/>
        </w:rPr>
        <w:footnoteRef/>
      </w:r>
      <w:r>
        <w:rPr>
          <w:rFonts w:ascii="Times New Roman" w:hAnsi="Times New Roman"/>
          <w:sz w:val="20"/>
          <w:szCs w:val="20"/>
        </w:rPr>
        <w:tab/>
      </w:r>
      <w:r w:rsidRPr="00100122">
        <w:rPr>
          <w:rFonts w:ascii="Times New Roman" w:hAnsi="Times New Roman"/>
          <w:sz w:val="20"/>
          <w:szCs w:val="20"/>
        </w:rPr>
        <w:t xml:space="preserve">See Hillel Schwartz, </w:t>
      </w:r>
      <w:r w:rsidRPr="00100122">
        <w:rPr>
          <w:rFonts w:ascii="Times New Roman" w:hAnsi="Times New Roman"/>
          <w:i/>
          <w:sz w:val="20"/>
          <w:szCs w:val="20"/>
        </w:rPr>
        <w:t xml:space="preserve">The French Prophets in England: A Social History of a Millenarian Group in the Early Eighteenth Century </w:t>
      </w:r>
      <w:r w:rsidRPr="00100122">
        <w:rPr>
          <w:rFonts w:ascii="Times New Roman" w:hAnsi="Times New Roman"/>
          <w:sz w:val="20"/>
          <w:szCs w:val="20"/>
        </w:rPr>
        <w:t>(Berkeley, CA: University of California Press, 1980), 119.</w:t>
      </w:r>
    </w:p>
  </w:footnote>
  <w:footnote w:id="21">
    <w:p w:rsidR="008D120C" w:rsidRPr="00100122" w:rsidRDefault="008D120C" w:rsidP="00D23122">
      <w:pPr>
        <w:pStyle w:val="FootnoteText"/>
        <w:keepLines/>
        <w:ind w:left="288" w:hanging="288"/>
        <w:rPr>
          <w:rFonts w:ascii="Times New Roman" w:hAnsi="Times New Roman"/>
          <w:sz w:val="20"/>
          <w:szCs w:val="20"/>
        </w:rPr>
      </w:pPr>
      <w:r w:rsidRPr="00100122">
        <w:rPr>
          <w:rStyle w:val="FootnoteReference"/>
          <w:rFonts w:ascii="Times New Roman" w:hAnsi="Times New Roman"/>
          <w:sz w:val="20"/>
          <w:szCs w:val="20"/>
        </w:rPr>
        <w:footnoteRef/>
      </w:r>
      <w:r w:rsidRPr="00100122">
        <w:rPr>
          <w:rFonts w:ascii="Times New Roman" w:hAnsi="Times New Roman"/>
          <w:sz w:val="20"/>
          <w:szCs w:val="20"/>
        </w:rPr>
        <w:t xml:space="preserve"> </w:t>
      </w:r>
      <w:r>
        <w:rPr>
          <w:rFonts w:ascii="Times New Roman" w:hAnsi="Times New Roman"/>
          <w:sz w:val="20"/>
          <w:szCs w:val="20"/>
        </w:rPr>
        <w:tab/>
      </w:r>
      <w:r w:rsidRPr="00100122">
        <w:rPr>
          <w:rFonts w:ascii="Times New Roman" w:hAnsi="Times New Roman"/>
          <w:sz w:val="20"/>
          <w:szCs w:val="20"/>
        </w:rPr>
        <w:t>Ibid. Another factor in the excommunication of female prophets was the common b</w:t>
      </w:r>
      <w:r>
        <w:rPr>
          <w:rFonts w:ascii="Times New Roman" w:hAnsi="Times New Roman"/>
          <w:sz w:val="20"/>
          <w:szCs w:val="20"/>
        </w:rPr>
        <w:t>e</w:t>
      </w:r>
      <w:r w:rsidRPr="00100122">
        <w:rPr>
          <w:rFonts w:ascii="Times New Roman" w:hAnsi="Times New Roman"/>
          <w:sz w:val="20"/>
          <w:szCs w:val="20"/>
        </w:rPr>
        <w:t xml:space="preserve">lief that women were easily controlled by emotions and thus less able to distinguish between good and bad or the true and false spirits of prophecy. See Schwartz, </w:t>
      </w:r>
      <w:r w:rsidRPr="00100122">
        <w:rPr>
          <w:rFonts w:ascii="Times New Roman" w:hAnsi="Times New Roman"/>
          <w:i/>
          <w:sz w:val="20"/>
          <w:szCs w:val="20"/>
        </w:rPr>
        <w:t xml:space="preserve">The French Prophets in England, </w:t>
      </w:r>
      <w:r w:rsidRPr="00100122">
        <w:rPr>
          <w:rFonts w:ascii="Times New Roman" w:hAnsi="Times New Roman"/>
          <w:sz w:val="20"/>
          <w:szCs w:val="20"/>
        </w:rPr>
        <w:t>143.</w:t>
      </w:r>
    </w:p>
  </w:footnote>
  <w:footnote w:id="22">
    <w:p w:rsidR="008D120C" w:rsidRPr="00100122" w:rsidRDefault="008D120C" w:rsidP="00D23122">
      <w:pPr>
        <w:pStyle w:val="FootnoteText"/>
        <w:keepLines/>
        <w:ind w:left="288" w:hanging="288"/>
        <w:rPr>
          <w:rFonts w:ascii="Times New Roman" w:hAnsi="Times New Roman"/>
          <w:sz w:val="20"/>
          <w:szCs w:val="20"/>
        </w:rPr>
      </w:pPr>
      <w:r w:rsidRPr="00100122">
        <w:rPr>
          <w:rStyle w:val="FootnoteReference"/>
          <w:rFonts w:ascii="Times New Roman" w:hAnsi="Times New Roman"/>
          <w:sz w:val="20"/>
          <w:szCs w:val="20"/>
        </w:rPr>
        <w:footnoteRef/>
      </w:r>
      <w:r>
        <w:rPr>
          <w:rFonts w:ascii="Times New Roman" w:hAnsi="Times New Roman"/>
          <w:sz w:val="20"/>
          <w:szCs w:val="20"/>
        </w:rPr>
        <w:tab/>
      </w:r>
      <w:r w:rsidRPr="00100122">
        <w:rPr>
          <w:rFonts w:ascii="Times New Roman" w:hAnsi="Times New Roman"/>
          <w:sz w:val="20"/>
          <w:szCs w:val="20"/>
        </w:rPr>
        <w:t xml:space="preserve">As Sarah Apetrei has pointed out, for example, a number of late seventeenth-century women and their fellow believers began to regard the female sex as defenders of faith, rationality and morality. See Apetrei, </w:t>
      </w:r>
      <w:r w:rsidRPr="00100122">
        <w:rPr>
          <w:rFonts w:ascii="Times New Roman" w:hAnsi="Times New Roman"/>
          <w:i/>
          <w:sz w:val="20"/>
          <w:szCs w:val="20"/>
        </w:rPr>
        <w:t xml:space="preserve">Women, Feminism, and Religion in Early Enlightenment England </w:t>
      </w:r>
      <w:r w:rsidRPr="00100122">
        <w:rPr>
          <w:rFonts w:ascii="Times New Roman" w:hAnsi="Times New Roman"/>
          <w:sz w:val="20"/>
          <w:szCs w:val="20"/>
        </w:rPr>
        <w:t>(New York: Cambridge University Press, 2010), 17.</w:t>
      </w:r>
    </w:p>
  </w:footnote>
  <w:footnote w:id="23">
    <w:p w:rsidR="008D120C" w:rsidRPr="00100122" w:rsidRDefault="008D120C" w:rsidP="00D23122">
      <w:pPr>
        <w:pStyle w:val="FootnoteText"/>
        <w:keepLines/>
        <w:ind w:left="288" w:hanging="288"/>
        <w:rPr>
          <w:rFonts w:ascii="Times New Roman" w:hAnsi="Times New Roman"/>
          <w:sz w:val="20"/>
          <w:szCs w:val="20"/>
        </w:rPr>
      </w:pPr>
      <w:r w:rsidRPr="00100122">
        <w:rPr>
          <w:rStyle w:val="FootnoteReference"/>
          <w:rFonts w:ascii="Times New Roman" w:hAnsi="Times New Roman"/>
          <w:sz w:val="20"/>
          <w:szCs w:val="20"/>
        </w:rPr>
        <w:footnoteRef/>
      </w:r>
      <w:r>
        <w:rPr>
          <w:rFonts w:ascii="Times New Roman" w:hAnsi="Times New Roman"/>
          <w:sz w:val="20"/>
          <w:szCs w:val="20"/>
        </w:rPr>
        <w:tab/>
      </w:r>
      <w:r w:rsidRPr="00100122">
        <w:rPr>
          <w:rFonts w:ascii="Times New Roman" w:hAnsi="Times New Roman"/>
          <w:sz w:val="20"/>
          <w:szCs w:val="20"/>
        </w:rPr>
        <w:t>For an overview of the historiography on female prophecy and its engagement with the question of agency see the introduction to this dissertation.</w:t>
      </w:r>
    </w:p>
  </w:footnote>
  <w:footnote w:id="24">
    <w:p w:rsidR="008D120C" w:rsidRPr="00100122" w:rsidRDefault="008D120C" w:rsidP="00D23122">
      <w:pPr>
        <w:pStyle w:val="FootnoteText"/>
        <w:keepLines/>
        <w:ind w:left="288" w:hanging="288"/>
        <w:rPr>
          <w:rFonts w:ascii="Times New Roman" w:hAnsi="Times New Roman"/>
          <w:sz w:val="20"/>
          <w:szCs w:val="20"/>
        </w:rPr>
      </w:pPr>
      <w:r w:rsidRPr="00100122">
        <w:rPr>
          <w:rStyle w:val="FootnoteReference"/>
          <w:rFonts w:ascii="Times New Roman" w:hAnsi="Times New Roman"/>
          <w:sz w:val="20"/>
          <w:szCs w:val="20"/>
        </w:rPr>
        <w:footnoteRef/>
      </w:r>
      <w:r>
        <w:rPr>
          <w:rFonts w:ascii="Times New Roman" w:hAnsi="Times New Roman"/>
          <w:sz w:val="20"/>
          <w:szCs w:val="20"/>
        </w:rPr>
        <w:tab/>
      </w:r>
      <w:r w:rsidRPr="00100122">
        <w:rPr>
          <w:rFonts w:ascii="Times New Roman" w:hAnsi="Times New Roman"/>
          <w:sz w:val="20"/>
          <w:szCs w:val="20"/>
        </w:rPr>
        <w:t xml:space="preserve">On the perspective of networks see David Hancock, </w:t>
      </w:r>
      <w:r w:rsidRPr="00100122">
        <w:rPr>
          <w:rFonts w:ascii="Times New Roman" w:hAnsi="Times New Roman"/>
          <w:i/>
          <w:sz w:val="20"/>
          <w:szCs w:val="20"/>
        </w:rPr>
        <w:t xml:space="preserve">Oceans of Wine: Madeira and the Emergence of American Taste </w:t>
      </w:r>
      <w:r w:rsidRPr="00100122">
        <w:rPr>
          <w:rFonts w:ascii="Times New Roman" w:hAnsi="Times New Roman"/>
          <w:sz w:val="20"/>
          <w:szCs w:val="20"/>
        </w:rPr>
        <w:t>(New Haven, CT: Yale University Press, 2009), xx-xxi.</w:t>
      </w:r>
    </w:p>
  </w:footnote>
  <w:footnote w:id="25">
    <w:p w:rsidR="008D120C" w:rsidRPr="00100122" w:rsidRDefault="008D120C" w:rsidP="00D23122">
      <w:pPr>
        <w:pStyle w:val="FootnoteText"/>
        <w:keepLines/>
        <w:ind w:left="288" w:hanging="288"/>
        <w:rPr>
          <w:rFonts w:ascii="Times New Roman" w:hAnsi="Times New Roman"/>
          <w:sz w:val="20"/>
          <w:szCs w:val="20"/>
        </w:rPr>
      </w:pPr>
      <w:r w:rsidRPr="00100122">
        <w:rPr>
          <w:rStyle w:val="FootnoteReference"/>
          <w:rFonts w:ascii="Times New Roman" w:hAnsi="Times New Roman"/>
          <w:sz w:val="20"/>
          <w:szCs w:val="20"/>
        </w:rPr>
        <w:footnoteRef/>
      </w:r>
      <w:r>
        <w:rPr>
          <w:rFonts w:ascii="Times New Roman" w:hAnsi="Times New Roman"/>
          <w:sz w:val="20"/>
          <w:szCs w:val="20"/>
        </w:rPr>
        <w:tab/>
      </w:r>
      <w:r w:rsidRPr="00100122">
        <w:rPr>
          <w:rFonts w:ascii="Times New Roman" w:hAnsi="Times New Roman"/>
          <w:sz w:val="20"/>
          <w:szCs w:val="20"/>
        </w:rPr>
        <w:t xml:space="preserve">Phyllis Mack, </w:t>
      </w:r>
      <w:r w:rsidRPr="00100122">
        <w:rPr>
          <w:rFonts w:ascii="Times New Roman" w:hAnsi="Times New Roman"/>
          <w:i/>
          <w:sz w:val="20"/>
          <w:szCs w:val="20"/>
        </w:rPr>
        <w:t>Visionary Women: Ecstatic Prophecy in Seventeenth-Century England</w:t>
      </w:r>
      <w:r w:rsidRPr="00100122">
        <w:rPr>
          <w:rFonts w:ascii="Times New Roman" w:hAnsi="Times New Roman"/>
          <w:sz w:val="20"/>
          <w:szCs w:val="20"/>
        </w:rPr>
        <w:t xml:space="preserve"> (Berkeley, CA: The University of California Press, 1992), 349; Schwartz, </w:t>
      </w:r>
      <w:r w:rsidRPr="00100122">
        <w:rPr>
          <w:rFonts w:ascii="Times New Roman" w:hAnsi="Times New Roman"/>
          <w:i/>
          <w:sz w:val="20"/>
          <w:szCs w:val="20"/>
        </w:rPr>
        <w:t xml:space="preserve">The French Prophets in England, </w:t>
      </w:r>
      <w:r w:rsidRPr="00100122">
        <w:rPr>
          <w:rFonts w:ascii="Times New Roman" w:hAnsi="Times New Roman"/>
          <w:sz w:val="20"/>
          <w:szCs w:val="20"/>
        </w:rPr>
        <w:t>211.</w:t>
      </w:r>
    </w:p>
  </w:footnote>
  <w:footnote w:id="26">
    <w:p w:rsidR="008D120C" w:rsidRPr="00100122" w:rsidRDefault="008D120C" w:rsidP="00D23122">
      <w:pPr>
        <w:pStyle w:val="FootnoteText"/>
        <w:keepLines/>
        <w:ind w:left="288" w:hanging="288"/>
        <w:rPr>
          <w:rFonts w:ascii="Times New Roman" w:hAnsi="Times New Roman"/>
          <w:sz w:val="20"/>
          <w:szCs w:val="20"/>
        </w:rPr>
      </w:pPr>
      <w:r w:rsidRPr="00100122">
        <w:rPr>
          <w:rStyle w:val="FootnoteReference"/>
          <w:rFonts w:ascii="Times New Roman" w:hAnsi="Times New Roman"/>
          <w:sz w:val="20"/>
          <w:szCs w:val="20"/>
        </w:rPr>
        <w:footnoteRef/>
      </w:r>
      <w:r>
        <w:rPr>
          <w:rFonts w:ascii="Times New Roman" w:hAnsi="Times New Roman"/>
          <w:sz w:val="20"/>
          <w:szCs w:val="20"/>
        </w:rPr>
        <w:tab/>
      </w:r>
      <w:r w:rsidRPr="00100122">
        <w:rPr>
          <w:rFonts w:ascii="Times New Roman" w:hAnsi="Times New Roman"/>
          <w:sz w:val="20"/>
          <w:szCs w:val="20"/>
        </w:rPr>
        <w:t>On networks and the Atlantic world see R</w:t>
      </w:r>
      <w:r w:rsidRPr="00100122">
        <w:rPr>
          <w:rFonts w:ascii="Times New Roman" w:hAnsi="Times New Roman" w:cs="Times New Roman"/>
          <w:sz w:val="20"/>
          <w:szCs w:val="20"/>
        </w:rPr>
        <w:t xml:space="preserve">osalind J. Beiler, “Dissenting Religious Communication Networks and European Migration, 1660-1710,” in </w:t>
      </w:r>
      <w:r w:rsidRPr="00100122">
        <w:rPr>
          <w:rFonts w:ascii="Times New Roman" w:hAnsi="Times New Roman" w:cs="Times New Roman"/>
          <w:i/>
          <w:iCs/>
          <w:sz w:val="20"/>
          <w:szCs w:val="20"/>
        </w:rPr>
        <w:t xml:space="preserve">Soundings in Atlantic History: Latent Structures and Intellectual Currents, </w:t>
      </w:r>
      <w:r w:rsidRPr="00100122">
        <w:rPr>
          <w:rFonts w:ascii="Times New Roman" w:hAnsi="Times New Roman" w:cs="Times New Roman"/>
          <w:sz w:val="20"/>
          <w:szCs w:val="20"/>
        </w:rPr>
        <w:t>eds. Bernard Bailyn and Patricia L. Denault (Cambridge, MA: Harvard University Press, 2009), 210-236; Alison Games, “Atlantic Constraints and Global Opportunities,</w:t>
      </w:r>
      <w:r>
        <w:rPr>
          <w:rFonts w:ascii="Times New Roman" w:hAnsi="Times New Roman" w:cs="Times New Roman"/>
          <w:sz w:val="20"/>
          <w:szCs w:val="20"/>
        </w:rPr>
        <w:t>”</w:t>
      </w:r>
      <w:r w:rsidRPr="00100122">
        <w:rPr>
          <w:rFonts w:ascii="Times New Roman" w:hAnsi="Times New Roman" w:cs="Times New Roman"/>
          <w:sz w:val="20"/>
          <w:szCs w:val="20"/>
        </w:rPr>
        <w:t xml:space="preserve"> </w:t>
      </w:r>
      <w:r w:rsidRPr="00100122">
        <w:rPr>
          <w:rFonts w:ascii="Times New Roman" w:hAnsi="Times New Roman" w:cs="Times New Roman"/>
          <w:i/>
          <w:sz w:val="20"/>
          <w:szCs w:val="20"/>
        </w:rPr>
        <w:t>History</w:t>
      </w:r>
      <w:r w:rsidRPr="00100122">
        <w:rPr>
          <w:rFonts w:ascii="Times New Roman" w:hAnsi="Times New Roman" w:cs="Times New Roman"/>
          <w:sz w:val="20"/>
          <w:szCs w:val="20"/>
        </w:rPr>
        <w:t xml:space="preserve"> </w:t>
      </w:r>
      <w:r w:rsidRPr="00100122">
        <w:rPr>
          <w:rFonts w:ascii="Times New Roman" w:hAnsi="Times New Roman" w:cs="Times New Roman"/>
          <w:i/>
          <w:sz w:val="20"/>
          <w:szCs w:val="20"/>
        </w:rPr>
        <w:t>Compass</w:t>
      </w:r>
      <w:r w:rsidRPr="00100122">
        <w:rPr>
          <w:rFonts w:ascii="Times New Roman" w:hAnsi="Times New Roman" w:cs="Times New Roman"/>
          <w:sz w:val="20"/>
          <w:szCs w:val="20"/>
        </w:rPr>
        <w:t xml:space="preserve"> 1, no. 1 (2003): 1-4; Hancock, </w:t>
      </w:r>
      <w:r w:rsidRPr="00100122">
        <w:rPr>
          <w:rFonts w:ascii="Times New Roman" w:hAnsi="Times New Roman" w:cs="Times New Roman"/>
          <w:i/>
          <w:sz w:val="20"/>
          <w:szCs w:val="20"/>
        </w:rPr>
        <w:t>Oceans of Wine</w:t>
      </w:r>
      <w:r w:rsidRPr="00100122">
        <w:rPr>
          <w:rFonts w:ascii="Times New Roman" w:hAnsi="Times New Roman" w:cs="Times New Roman"/>
          <w:sz w:val="20"/>
          <w:szCs w:val="20"/>
        </w:rPr>
        <w:t xml:space="preserve">; Ian K. Steele, </w:t>
      </w:r>
      <w:r w:rsidRPr="00100122">
        <w:rPr>
          <w:rFonts w:ascii="Times New Roman" w:hAnsi="Times New Roman" w:cs="Times New Roman"/>
          <w:i/>
          <w:sz w:val="20"/>
          <w:szCs w:val="20"/>
        </w:rPr>
        <w:t xml:space="preserve">The English Atlantic, 1675-1740: An Exploration of Communication and Community </w:t>
      </w:r>
      <w:r w:rsidRPr="00100122">
        <w:rPr>
          <w:rFonts w:ascii="Times New Roman" w:hAnsi="Times New Roman" w:cs="Times New Roman"/>
          <w:sz w:val="20"/>
          <w:szCs w:val="20"/>
        </w:rPr>
        <w:t>(New York: Oxford University Press, 1986</w:t>
      </w:r>
      <w:r>
        <w:rPr>
          <w:rFonts w:ascii="Times New Roman" w:hAnsi="Times New Roman" w:cs="Times New Roman"/>
          <w:sz w:val="20"/>
          <w:szCs w:val="20"/>
        </w:rPr>
        <w:t>)</w:t>
      </w:r>
      <w:r w:rsidRPr="00100122">
        <w:rPr>
          <w:rFonts w:ascii="Times New Roman" w:hAnsi="Times New Roman" w:cs="Times New Roman"/>
          <w:sz w:val="20"/>
          <w:szCs w:val="20"/>
        </w:rPr>
        <w:t>.</w:t>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20C" w:rsidRDefault="009B7D9B" w:rsidP="00323E6D">
    <w:pPr>
      <w:pStyle w:val="Header"/>
      <w:framePr w:wrap="around" w:vAnchor="text" w:hAnchor="margin" w:xAlign="right" w:y="1"/>
      <w:rPr>
        <w:rStyle w:val="PageNumber"/>
      </w:rPr>
    </w:pPr>
    <w:r>
      <w:rPr>
        <w:rStyle w:val="PageNumber"/>
      </w:rPr>
      <w:fldChar w:fldCharType="begin"/>
    </w:r>
    <w:r w:rsidR="008D120C">
      <w:rPr>
        <w:rStyle w:val="PageNumber"/>
      </w:rPr>
      <w:instrText xml:space="preserve">PAGE  </w:instrText>
    </w:r>
    <w:r>
      <w:rPr>
        <w:rStyle w:val="PageNumber"/>
      </w:rPr>
      <w:fldChar w:fldCharType="end"/>
    </w:r>
  </w:p>
  <w:p w:rsidR="008D120C" w:rsidRDefault="008D120C" w:rsidP="00064479">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20C" w:rsidRDefault="009B7D9B" w:rsidP="00323E6D">
    <w:pPr>
      <w:pStyle w:val="Header"/>
      <w:framePr w:wrap="around" w:vAnchor="text" w:hAnchor="margin" w:xAlign="right" w:y="1"/>
      <w:rPr>
        <w:rStyle w:val="PageNumber"/>
      </w:rPr>
    </w:pPr>
    <w:r>
      <w:rPr>
        <w:rStyle w:val="PageNumber"/>
      </w:rPr>
      <w:fldChar w:fldCharType="begin"/>
    </w:r>
    <w:r w:rsidR="008D120C">
      <w:rPr>
        <w:rStyle w:val="PageNumber"/>
      </w:rPr>
      <w:instrText xml:space="preserve">PAGE  </w:instrText>
    </w:r>
    <w:r>
      <w:rPr>
        <w:rStyle w:val="PageNumber"/>
      </w:rPr>
      <w:fldChar w:fldCharType="separate"/>
    </w:r>
    <w:r w:rsidR="006274DD">
      <w:rPr>
        <w:rStyle w:val="PageNumber"/>
        <w:noProof/>
      </w:rPr>
      <w:t>291</w:t>
    </w:r>
    <w:r>
      <w:rPr>
        <w:rStyle w:val="PageNumber"/>
      </w:rPr>
      <w:fldChar w:fldCharType="end"/>
    </w:r>
  </w:p>
  <w:p w:rsidR="008D120C" w:rsidRDefault="008D120C" w:rsidP="00064479">
    <w:pPr>
      <w:pStyle w:val="Header"/>
      <w:ind w:right="360"/>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120C" w:rsidRDefault="008D120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20"/>
  <w:characterSpacingControl w:val="doNotCompress"/>
  <w:savePreviewPicture/>
  <w:footnotePr>
    <w:footnote w:id="-1"/>
    <w:footnote w:id="0"/>
  </w:footnotePr>
  <w:endnotePr>
    <w:endnote w:id="-1"/>
    <w:endnote w:id="0"/>
  </w:endnotePr>
  <w:compat>
    <w:useFELayout/>
  </w:compat>
  <w:rsids>
    <w:rsidRoot w:val="002A5F8A"/>
    <w:rsid w:val="00007CF1"/>
    <w:rsid w:val="0002610F"/>
    <w:rsid w:val="00030DAD"/>
    <w:rsid w:val="00040943"/>
    <w:rsid w:val="0004184C"/>
    <w:rsid w:val="00057834"/>
    <w:rsid w:val="00064479"/>
    <w:rsid w:val="000655DA"/>
    <w:rsid w:val="000729D1"/>
    <w:rsid w:val="000757A2"/>
    <w:rsid w:val="00092B98"/>
    <w:rsid w:val="000A1FBB"/>
    <w:rsid w:val="000A3D2C"/>
    <w:rsid w:val="000A52DC"/>
    <w:rsid w:val="000B2864"/>
    <w:rsid w:val="000B427B"/>
    <w:rsid w:val="000C61DD"/>
    <w:rsid w:val="000D39BA"/>
    <w:rsid w:val="000E13E9"/>
    <w:rsid w:val="000E4B3A"/>
    <w:rsid w:val="000E752E"/>
    <w:rsid w:val="00100122"/>
    <w:rsid w:val="00104BF6"/>
    <w:rsid w:val="00106E2F"/>
    <w:rsid w:val="001238EA"/>
    <w:rsid w:val="00131FE3"/>
    <w:rsid w:val="00136554"/>
    <w:rsid w:val="00137EA7"/>
    <w:rsid w:val="00171875"/>
    <w:rsid w:val="00185B72"/>
    <w:rsid w:val="00191560"/>
    <w:rsid w:val="0019160B"/>
    <w:rsid w:val="00193B35"/>
    <w:rsid w:val="001A053F"/>
    <w:rsid w:val="001A18C4"/>
    <w:rsid w:val="001A6211"/>
    <w:rsid w:val="001A7EA2"/>
    <w:rsid w:val="001B4366"/>
    <w:rsid w:val="001C07C8"/>
    <w:rsid w:val="001D0DD3"/>
    <w:rsid w:val="001D0ED8"/>
    <w:rsid w:val="001D3E61"/>
    <w:rsid w:val="001D4A87"/>
    <w:rsid w:val="001E362A"/>
    <w:rsid w:val="001E3D8D"/>
    <w:rsid w:val="001F5B31"/>
    <w:rsid w:val="002020BF"/>
    <w:rsid w:val="00251BFD"/>
    <w:rsid w:val="0025600C"/>
    <w:rsid w:val="002679A1"/>
    <w:rsid w:val="00273395"/>
    <w:rsid w:val="002749CC"/>
    <w:rsid w:val="00274ABC"/>
    <w:rsid w:val="002861DB"/>
    <w:rsid w:val="002A0D70"/>
    <w:rsid w:val="002A5F8A"/>
    <w:rsid w:val="002B1596"/>
    <w:rsid w:val="002D24A9"/>
    <w:rsid w:val="002E2187"/>
    <w:rsid w:val="002E3486"/>
    <w:rsid w:val="002E6CEC"/>
    <w:rsid w:val="002F1D06"/>
    <w:rsid w:val="002F221E"/>
    <w:rsid w:val="002F291B"/>
    <w:rsid w:val="002F6DA2"/>
    <w:rsid w:val="00323E6D"/>
    <w:rsid w:val="0032557D"/>
    <w:rsid w:val="003440A3"/>
    <w:rsid w:val="0034520A"/>
    <w:rsid w:val="00392969"/>
    <w:rsid w:val="003A01F7"/>
    <w:rsid w:val="003A13ED"/>
    <w:rsid w:val="003B0D9D"/>
    <w:rsid w:val="003B22B9"/>
    <w:rsid w:val="003B3D0A"/>
    <w:rsid w:val="003C053C"/>
    <w:rsid w:val="003C05E8"/>
    <w:rsid w:val="003C2A53"/>
    <w:rsid w:val="003C3B0B"/>
    <w:rsid w:val="003D1362"/>
    <w:rsid w:val="003D5196"/>
    <w:rsid w:val="003F236B"/>
    <w:rsid w:val="003F55C1"/>
    <w:rsid w:val="003F6CAE"/>
    <w:rsid w:val="004017A5"/>
    <w:rsid w:val="0042129C"/>
    <w:rsid w:val="004228B3"/>
    <w:rsid w:val="00426983"/>
    <w:rsid w:val="00426FE4"/>
    <w:rsid w:val="00464FDC"/>
    <w:rsid w:val="00472D7D"/>
    <w:rsid w:val="00474AF3"/>
    <w:rsid w:val="004804C9"/>
    <w:rsid w:val="0049425A"/>
    <w:rsid w:val="00494973"/>
    <w:rsid w:val="004A6151"/>
    <w:rsid w:val="004B175B"/>
    <w:rsid w:val="004F24E2"/>
    <w:rsid w:val="00506706"/>
    <w:rsid w:val="005123DF"/>
    <w:rsid w:val="0052190F"/>
    <w:rsid w:val="00527DB9"/>
    <w:rsid w:val="00552344"/>
    <w:rsid w:val="00552468"/>
    <w:rsid w:val="0056298B"/>
    <w:rsid w:val="00563A0A"/>
    <w:rsid w:val="00582D53"/>
    <w:rsid w:val="005906BB"/>
    <w:rsid w:val="00597A3B"/>
    <w:rsid w:val="005C115B"/>
    <w:rsid w:val="005D21C6"/>
    <w:rsid w:val="005D3CBE"/>
    <w:rsid w:val="005D405A"/>
    <w:rsid w:val="00603259"/>
    <w:rsid w:val="00612D45"/>
    <w:rsid w:val="00620F13"/>
    <w:rsid w:val="00623224"/>
    <w:rsid w:val="006274DD"/>
    <w:rsid w:val="00642392"/>
    <w:rsid w:val="00660D54"/>
    <w:rsid w:val="00671AE6"/>
    <w:rsid w:val="006819D6"/>
    <w:rsid w:val="0068310D"/>
    <w:rsid w:val="00692E43"/>
    <w:rsid w:val="006B1613"/>
    <w:rsid w:val="006B39EC"/>
    <w:rsid w:val="006C1386"/>
    <w:rsid w:val="006F15CF"/>
    <w:rsid w:val="006F201D"/>
    <w:rsid w:val="006F58F3"/>
    <w:rsid w:val="00711285"/>
    <w:rsid w:val="00715919"/>
    <w:rsid w:val="007223A2"/>
    <w:rsid w:val="00731A46"/>
    <w:rsid w:val="00744C6B"/>
    <w:rsid w:val="00751850"/>
    <w:rsid w:val="00756108"/>
    <w:rsid w:val="00757DFA"/>
    <w:rsid w:val="0076778D"/>
    <w:rsid w:val="007752C4"/>
    <w:rsid w:val="007778B6"/>
    <w:rsid w:val="0079661D"/>
    <w:rsid w:val="007A0C4A"/>
    <w:rsid w:val="007B7C2C"/>
    <w:rsid w:val="007E1772"/>
    <w:rsid w:val="007E18C3"/>
    <w:rsid w:val="007F4383"/>
    <w:rsid w:val="00813B3F"/>
    <w:rsid w:val="00821301"/>
    <w:rsid w:val="00824EDF"/>
    <w:rsid w:val="00852222"/>
    <w:rsid w:val="00855617"/>
    <w:rsid w:val="00861487"/>
    <w:rsid w:val="00861658"/>
    <w:rsid w:val="00864004"/>
    <w:rsid w:val="00865173"/>
    <w:rsid w:val="0088291C"/>
    <w:rsid w:val="00882F5C"/>
    <w:rsid w:val="00897343"/>
    <w:rsid w:val="008A4527"/>
    <w:rsid w:val="008A4D54"/>
    <w:rsid w:val="008B674D"/>
    <w:rsid w:val="008C3660"/>
    <w:rsid w:val="008D120C"/>
    <w:rsid w:val="008D24E5"/>
    <w:rsid w:val="008D2F14"/>
    <w:rsid w:val="008D4E5E"/>
    <w:rsid w:val="008D68FF"/>
    <w:rsid w:val="008E4453"/>
    <w:rsid w:val="0090061A"/>
    <w:rsid w:val="00924E54"/>
    <w:rsid w:val="00925F0B"/>
    <w:rsid w:val="00926123"/>
    <w:rsid w:val="00927E5C"/>
    <w:rsid w:val="00931EE0"/>
    <w:rsid w:val="00937624"/>
    <w:rsid w:val="00953F4C"/>
    <w:rsid w:val="00957BF0"/>
    <w:rsid w:val="00970D54"/>
    <w:rsid w:val="00982797"/>
    <w:rsid w:val="00997C8A"/>
    <w:rsid w:val="009A6582"/>
    <w:rsid w:val="009B6792"/>
    <w:rsid w:val="009B7D9B"/>
    <w:rsid w:val="009E59C4"/>
    <w:rsid w:val="009E696E"/>
    <w:rsid w:val="009E6C2E"/>
    <w:rsid w:val="00A0599C"/>
    <w:rsid w:val="00A05AAC"/>
    <w:rsid w:val="00A0615E"/>
    <w:rsid w:val="00A12E9A"/>
    <w:rsid w:val="00A17C38"/>
    <w:rsid w:val="00A2094B"/>
    <w:rsid w:val="00A40448"/>
    <w:rsid w:val="00A65E88"/>
    <w:rsid w:val="00A75648"/>
    <w:rsid w:val="00A81B80"/>
    <w:rsid w:val="00A972F3"/>
    <w:rsid w:val="00A97F11"/>
    <w:rsid w:val="00AA3F21"/>
    <w:rsid w:val="00AB749A"/>
    <w:rsid w:val="00AB7D48"/>
    <w:rsid w:val="00AC0C05"/>
    <w:rsid w:val="00AC1F73"/>
    <w:rsid w:val="00AE4CA9"/>
    <w:rsid w:val="00AF18E0"/>
    <w:rsid w:val="00AF5494"/>
    <w:rsid w:val="00B25E5F"/>
    <w:rsid w:val="00B338C8"/>
    <w:rsid w:val="00B37542"/>
    <w:rsid w:val="00B43B1C"/>
    <w:rsid w:val="00B63031"/>
    <w:rsid w:val="00B65E6B"/>
    <w:rsid w:val="00B67A59"/>
    <w:rsid w:val="00B74A55"/>
    <w:rsid w:val="00B74D96"/>
    <w:rsid w:val="00B85716"/>
    <w:rsid w:val="00B97590"/>
    <w:rsid w:val="00BB578A"/>
    <w:rsid w:val="00BC0C2A"/>
    <w:rsid w:val="00BC33B0"/>
    <w:rsid w:val="00BC3ADF"/>
    <w:rsid w:val="00BD3677"/>
    <w:rsid w:val="00BE3F7E"/>
    <w:rsid w:val="00C00C62"/>
    <w:rsid w:val="00C04E61"/>
    <w:rsid w:val="00C06D5D"/>
    <w:rsid w:val="00C164FC"/>
    <w:rsid w:val="00C221D4"/>
    <w:rsid w:val="00C24507"/>
    <w:rsid w:val="00C277B0"/>
    <w:rsid w:val="00C353D6"/>
    <w:rsid w:val="00C45002"/>
    <w:rsid w:val="00C64961"/>
    <w:rsid w:val="00CA06D9"/>
    <w:rsid w:val="00CB52E5"/>
    <w:rsid w:val="00CD28C0"/>
    <w:rsid w:val="00CD2961"/>
    <w:rsid w:val="00CD70B6"/>
    <w:rsid w:val="00CE40A5"/>
    <w:rsid w:val="00CF10C3"/>
    <w:rsid w:val="00D1245F"/>
    <w:rsid w:val="00D16571"/>
    <w:rsid w:val="00D2136A"/>
    <w:rsid w:val="00D21597"/>
    <w:rsid w:val="00D23122"/>
    <w:rsid w:val="00D24F92"/>
    <w:rsid w:val="00D30CAA"/>
    <w:rsid w:val="00D51329"/>
    <w:rsid w:val="00D51DBA"/>
    <w:rsid w:val="00D560D7"/>
    <w:rsid w:val="00D77260"/>
    <w:rsid w:val="00D82B06"/>
    <w:rsid w:val="00D90934"/>
    <w:rsid w:val="00D91D36"/>
    <w:rsid w:val="00D968BC"/>
    <w:rsid w:val="00DA526F"/>
    <w:rsid w:val="00DB387B"/>
    <w:rsid w:val="00DB7F06"/>
    <w:rsid w:val="00DC0068"/>
    <w:rsid w:val="00DD6E8E"/>
    <w:rsid w:val="00DE0F90"/>
    <w:rsid w:val="00E11B35"/>
    <w:rsid w:val="00E127FA"/>
    <w:rsid w:val="00E13CF3"/>
    <w:rsid w:val="00E17505"/>
    <w:rsid w:val="00E346A2"/>
    <w:rsid w:val="00E421DC"/>
    <w:rsid w:val="00E4255D"/>
    <w:rsid w:val="00E433A7"/>
    <w:rsid w:val="00E437E9"/>
    <w:rsid w:val="00E503D4"/>
    <w:rsid w:val="00E52248"/>
    <w:rsid w:val="00E56374"/>
    <w:rsid w:val="00E818E7"/>
    <w:rsid w:val="00EA34D7"/>
    <w:rsid w:val="00EA7BA5"/>
    <w:rsid w:val="00EB7469"/>
    <w:rsid w:val="00EC4D9C"/>
    <w:rsid w:val="00ED3F43"/>
    <w:rsid w:val="00EE2582"/>
    <w:rsid w:val="00EE4AC9"/>
    <w:rsid w:val="00EF6E83"/>
    <w:rsid w:val="00F03A4F"/>
    <w:rsid w:val="00F05E42"/>
    <w:rsid w:val="00F17959"/>
    <w:rsid w:val="00F44F21"/>
    <w:rsid w:val="00F55582"/>
    <w:rsid w:val="00F55B43"/>
    <w:rsid w:val="00F752E0"/>
    <w:rsid w:val="00F94033"/>
    <w:rsid w:val="00FA2E7F"/>
    <w:rsid w:val="00FB0CFD"/>
    <w:rsid w:val="00FB1F55"/>
    <w:rsid w:val="00FB2D6B"/>
    <w:rsid w:val="00FC02C7"/>
    <w:rsid w:val="00FC242D"/>
    <w:rsid w:val="00FC4C8C"/>
    <w:rsid w:val="00FD2892"/>
    <w:rsid w:val="00FE01AD"/>
    <w:rsid w:val="00FF400A"/>
    <w:rsid w:val="00FF482B"/>
    <w:rsid w:val="00FF4E91"/>
  </w:rsids>
  <m:mathPr>
    <m:mathFont m:val="Arial Black"/>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2A5F8A"/>
    <w:rPr>
      <w:rFonts w:ascii="Palatino" w:eastAsiaTheme="minorHAnsi" w:hAnsi="Palatino"/>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B81B90"/>
    <w:rPr>
      <w:rFonts w:ascii="Lucida Grande" w:hAnsi="Lucida Grande"/>
      <w:sz w:val="18"/>
      <w:szCs w:val="18"/>
    </w:rPr>
  </w:style>
  <w:style w:type="character" w:customStyle="1" w:styleId="BalloonTextChar">
    <w:name w:val="Balloon Text Char"/>
    <w:basedOn w:val="DefaultParagraphFont"/>
    <w:link w:val="BalloonText"/>
    <w:uiPriority w:val="99"/>
    <w:semiHidden/>
    <w:rsid w:val="00B81B90"/>
    <w:rPr>
      <w:rFonts w:ascii="Lucida Grande" w:hAnsi="Lucida Grande"/>
      <w:sz w:val="18"/>
      <w:szCs w:val="18"/>
    </w:rPr>
  </w:style>
  <w:style w:type="paragraph" w:styleId="FootnoteText">
    <w:name w:val="footnote text"/>
    <w:basedOn w:val="Normal"/>
    <w:link w:val="FootnoteTextChar"/>
    <w:uiPriority w:val="99"/>
    <w:unhideWhenUsed/>
    <w:rsid w:val="002A5F8A"/>
    <w:rPr>
      <w:sz w:val="24"/>
    </w:rPr>
  </w:style>
  <w:style w:type="character" w:customStyle="1" w:styleId="FootnoteTextChar">
    <w:name w:val="Footnote Text Char"/>
    <w:basedOn w:val="DefaultParagraphFont"/>
    <w:link w:val="FootnoteText"/>
    <w:uiPriority w:val="99"/>
    <w:rsid w:val="002A5F8A"/>
    <w:rPr>
      <w:rFonts w:ascii="Palatino" w:eastAsiaTheme="minorHAnsi" w:hAnsi="Palatino"/>
    </w:rPr>
  </w:style>
  <w:style w:type="character" w:styleId="FootnoteReference">
    <w:name w:val="footnote reference"/>
    <w:basedOn w:val="DefaultParagraphFont"/>
    <w:uiPriority w:val="99"/>
    <w:unhideWhenUsed/>
    <w:rsid w:val="002A5F8A"/>
    <w:rPr>
      <w:vertAlign w:val="superscript"/>
    </w:rPr>
  </w:style>
  <w:style w:type="paragraph" w:styleId="Header">
    <w:name w:val="header"/>
    <w:basedOn w:val="Normal"/>
    <w:link w:val="HeaderChar"/>
    <w:uiPriority w:val="99"/>
    <w:unhideWhenUsed/>
    <w:rsid w:val="00064479"/>
    <w:pPr>
      <w:tabs>
        <w:tab w:val="center" w:pos="4320"/>
        <w:tab w:val="right" w:pos="8640"/>
      </w:tabs>
    </w:pPr>
  </w:style>
  <w:style w:type="character" w:customStyle="1" w:styleId="HeaderChar">
    <w:name w:val="Header Char"/>
    <w:basedOn w:val="DefaultParagraphFont"/>
    <w:link w:val="Header"/>
    <w:uiPriority w:val="99"/>
    <w:rsid w:val="00064479"/>
    <w:rPr>
      <w:rFonts w:ascii="Palatino" w:eastAsiaTheme="minorHAnsi" w:hAnsi="Palatino"/>
      <w:sz w:val="22"/>
    </w:rPr>
  </w:style>
  <w:style w:type="character" w:styleId="PageNumber">
    <w:name w:val="page number"/>
    <w:basedOn w:val="DefaultParagraphFont"/>
    <w:uiPriority w:val="99"/>
    <w:semiHidden/>
    <w:unhideWhenUsed/>
    <w:rsid w:val="00064479"/>
  </w:style>
  <w:style w:type="character" w:styleId="Emphasis">
    <w:name w:val="Emphasis"/>
    <w:basedOn w:val="DefaultParagraphFont"/>
    <w:uiPriority w:val="20"/>
    <w:qFormat/>
    <w:rsid w:val="00A12E9A"/>
    <w:rPr>
      <w:i/>
      <w:iCs/>
    </w:rPr>
  </w:style>
  <w:style w:type="paragraph" w:styleId="Footer">
    <w:name w:val="footer"/>
    <w:basedOn w:val="Normal"/>
    <w:link w:val="FooterChar"/>
    <w:uiPriority w:val="99"/>
    <w:semiHidden/>
    <w:unhideWhenUsed/>
    <w:rsid w:val="00DB7F06"/>
    <w:pPr>
      <w:tabs>
        <w:tab w:val="center" w:pos="4320"/>
        <w:tab w:val="right" w:pos="8640"/>
      </w:tabs>
    </w:pPr>
  </w:style>
  <w:style w:type="character" w:customStyle="1" w:styleId="FooterChar">
    <w:name w:val="Footer Char"/>
    <w:basedOn w:val="DefaultParagraphFont"/>
    <w:link w:val="Footer"/>
    <w:uiPriority w:val="99"/>
    <w:semiHidden/>
    <w:rsid w:val="00DB7F06"/>
    <w:rPr>
      <w:rFonts w:ascii="Palatino" w:eastAsiaTheme="minorHAnsi" w:hAnsi="Palatino"/>
      <w:sz w:val="22"/>
    </w:rPr>
  </w:style>
  <w:style w:type="character" w:customStyle="1" w:styleId="searchword">
    <w:name w:val="searchword"/>
    <w:basedOn w:val="DefaultParagraphFont"/>
    <w:rsid w:val="00FD2892"/>
  </w:style>
  <w:style w:type="paragraph" w:customStyle="1" w:styleId="sdfootnote">
    <w:name w:val="sdfootnote"/>
    <w:basedOn w:val="Normal"/>
    <w:rsid w:val="00AC0C05"/>
    <w:pPr>
      <w:keepNext/>
      <w:spacing w:beforeLines="1"/>
      <w:ind w:left="288" w:hanging="288"/>
    </w:pPr>
    <w:rPr>
      <w:rFonts w:ascii="Times" w:eastAsiaTheme="minorEastAsia" w:hAnsi="Times"/>
      <w:sz w:val="20"/>
      <w:szCs w:val="20"/>
    </w:rPr>
  </w:style>
  <w:style w:type="paragraph" w:customStyle="1" w:styleId="sdendnote">
    <w:name w:val="sdendnote"/>
    <w:basedOn w:val="Normal"/>
    <w:rsid w:val="0056298B"/>
    <w:pPr>
      <w:keepNext/>
      <w:spacing w:before="100" w:beforeAutospacing="1"/>
      <w:ind w:left="288" w:hanging="288"/>
    </w:pPr>
    <w:rPr>
      <w:rFonts w:ascii="Times" w:eastAsiaTheme="minorEastAsia" w:hAnsi="Time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F8A"/>
    <w:rPr>
      <w:rFonts w:ascii="Palatino" w:eastAsiaTheme="minorHAnsi" w:hAnsi="Palatino"/>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footnote text"/>
    <w:basedOn w:val="Normal"/>
    <w:link w:val="BalloonTextChar"/>
    <w:uiPriority w:val="99"/>
    <w:unhideWhenUsed/>
    <w:rsid w:val="002A5F8A"/>
    <w:rPr>
      <w:sz w:val="24"/>
    </w:rPr>
  </w:style>
  <w:style w:type="character" w:customStyle="1" w:styleId="BalloonTextChar">
    <w:name w:val="Footnote Text Char"/>
    <w:basedOn w:val="DefaultParagraphFont"/>
    <w:link w:val="BalloonText"/>
    <w:uiPriority w:val="99"/>
    <w:rsid w:val="002A5F8A"/>
    <w:rPr>
      <w:rFonts w:ascii="Palatino" w:eastAsiaTheme="minorHAnsi" w:hAnsi="Palatino"/>
    </w:rPr>
  </w:style>
  <w:style w:type="character" w:styleId="FootnoteText">
    <w:name w:val="footnote reference"/>
    <w:basedOn w:val="DefaultParagraphFont"/>
    <w:uiPriority w:val="99"/>
    <w:unhideWhenUsed/>
    <w:rsid w:val="002A5F8A"/>
    <w:rPr>
      <w:vertAlign w:val="superscript"/>
    </w:rPr>
  </w:style>
  <w:style w:type="paragraph" w:styleId="FootnoteTextChar">
    <w:name w:val="header"/>
    <w:basedOn w:val="Normal"/>
    <w:link w:val="FootnoteReference"/>
    <w:uiPriority w:val="99"/>
    <w:unhideWhenUsed/>
    <w:rsid w:val="00064479"/>
    <w:pPr>
      <w:tabs>
        <w:tab w:val="center" w:pos="4320"/>
        <w:tab w:val="right" w:pos="8640"/>
      </w:tabs>
    </w:pPr>
  </w:style>
  <w:style w:type="character" w:customStyle="1" w:styleId="FootnoteReference">
    <w:name w:val="Header Char"/>
    <w:basedOn w:val="DefaultParagraphFont"/>
    <w:link w:val="FootnoteTextChar"/>
    <w:uiPriority w:val="99"/>
    <w:rsid w:val="00064479"/>
    <w:rPr>
      <w:rFonts w:ascii="Palatino" w:eastAsiaTheme="minorHAnsi" w:hAnsi="Palatino"/>
      <w:sz w:val="22"/>
    </w:rPr>
  </w:style>
  <w:style w:type="character" w:styleId="Header">
    <w:name w:val="page number"/>
    <w:basedOn w:val="DefaultParagraphFont"/>
    <w:uiPriority w:val="99"/>
    <w:semiHidden/>
    <w:unhideWhenUsed/>
    <w:rsid w:val="00064479"/>
  </w:style>
  <w:style w:type="character" w:styleId="HeaderChar">
    <w:name w:val="Emphasis"/>
    <w:basedOn w:val="DefaultParagraphFont"/>
    <w:uiPriority w:val="20"/>
    <w:qFormat/>
    <w:rsid w:val="00A12E9A"/>
    <w:rPr>
      <w:i/>
      <w:iCs/>
    </w:rPr>
  </w:style>
</w:styles>
</file>

<file path=word/webSettings.xml><?xml version="1.0" encoding="utf-8"?>
<w:webSettings xmlns:r="http://schemas.openxmlformats.org/officeDocument/2006/relationships" xmlns:w="http://schemas.openxmlformats.org/wordprocessingml/2006/main">
  <w:divs>
    <w:div w:id="33585499">
      <w:bodyDiv w:val="1"/>
      <w:marLeft w:val="0"/>
      <w:marRight w:val="0"/>
      <w:marTop w:val="0"/>
      <w:marBottom w:val="0"/>
      <w:divBdr>
        <w:top w:val="none" w:sz="0" w:space="0" w:color="auto"/>
        <w:left w:val="none" w:sz="0" w:space="0" w:color="auto"/>
        <w:bottom w:val="none" w:sz="0" w:space="0" w:color="auto"/>
        <w:right w:val="none" w:sz="0" w:space="0" w:color="auto"/>
      </w:divBdr>
    </w:div>
    <w:div w:id="142281513">
      <w:bodyDiv w:val="1"/>
      <w:marLeft w:val="0"/>
      <w:marRight w:val="0"/>
      <w:marTop w:val="0"/>
      <w:marBottom w:val="0"/>
      <w:divBdr>
        <w:top w:val="none" w:sz="0" w:space="0" w:color="auto"/>
        <w:left w:val="none" w:sz="0" w:space="0" w:color="auto"/>
        <w:bottom w:val="none" w:sz="0" w:space="0" w:color="auto"/>
        <w:right w:val="none" w:sz="0" w:space="0" w:color="auto"/>
      </w:divBdr>
      <w:divsChild>
        <w:div w:id="1601795744">
          <w:marLeft w:val="0"/>
          <w:marRight w:val="0"/>
          <w:marTop w:val="0"/>
          <w:marBottom w:val="0"/>
          <w:divBdr>
            <w:top w:val="none" w:sz="0" w:space="0" w:color="auto"/>
            <w:left w:val="none" w:sz="0" w:space="0" w:color="auto"/>
            <w:bottom w:val="none" w:sz="0" w:space="0" w:color="auto"/>
            <w:right w:val="none" w:sz="0" w:space="0" w:color="auto"/>
          </w:divBdr>
        </w:div>
      </w:divsChild>
    </w:div>
    <w:div w:id="361637148">
      <w:bodyDiv w:val="1"/>
      <w:marLeft w:val="0"/>
      <w:marRight w:val="0"/>
      <w:marTop w:val="0"/>
      <w:marBottom w:val="0"/>
      <w:divBdr>
        <w:top w:val="none" w:sz="0" w:space="0" w:color="auto"/>
        <w:left w:val="none" w:sz="0" w:space="0" w:color="auto"/>
        <w:bottom w:val="none" w:sz="0" w:space="0" w:color="auto"/>
        <w:right w:val="none" w:sz="0" w:space="0" w:color="auto"/>
      </w:divBdr>
      <w:divsChild>
        <w:div w:id="759906102">
          <w:marLeft w:val="0"/>
          <w:marRight w:val="0"/>
          <w:marTop w:val="0"/>
          <w:marBottom w:val="0"/>
          <w:divBdr>
            <w:top w:val="none" w:sz="0" w:space="0" w:color="auto"/>
            <w:left w:val="none" w:sz="0" w:space="0" w:color="auto"/>
            <w:bottom w:val="none" w:sz="0" w:space="0" w:color="auto"/>
            <w:right w:val="none" w:sz="0" w:space="0" w:color="auto"/>
          </w:divBdr>
        </w:div>
      </w:divsChild>
    </w:div>
    <w:div w:id="648364609">
      <w:bodyDiv w:val="1"/>
      <w:marLeft w:val="0"/>
      <w:marRight w:val="0"/>
      <w:marTop w:val="0"/>
      <w:marBottom w:val="0"/>
      <w:divBdr>
        <w:top w:val="none" w:sz="0" w:space="0" w:color="auto"/>
        <w:left w:val="none" w:sz="0" w:space="0" w:color="auto"/>
        <w:bottom w:val="none" w:sz="0" w:space="0" w:color="auto"/>
        <w:right w:val="none" w:sz="0" w:space="0" w:color="auto"/>
      </w:divBdr>
    </w:div>
    <w:div w:id="839663324">
      <w:bodyDiv w:val="1"/>
      <w:marLeft w:val="0"/>
      <w:marRight w:val="0"/>
      <w:marTop w:val="0"/>
      <w:marBottom w:val="0"/>
      <w:divBdr>
        <w:top w:val="none" w:sz="0" w:space="0" w:color="auto"/>
        <w:left w:val="none" w:sz="0" w:space="0" w:color="auto"/>
        <w:bottom w:val="none" w:sz="0" w:space="0" w:color="auto"/>
        <w:right w:val="none" w:sz="0" w:space="0" w:color="auto"/>
      </w:divBdr>
    </w:div>
    <w:div w:id="1001276078">
      <w:bodyDiv w:val="1"/>
      <w:marLeft w:val="0"/>
      <w:marRight w:val="0"/>
      <w:marTop w:val="0"/>
      <w:marBottom w:val="0"/>
      <w:divBdr>
        <w:top w:val="none" w:sz="0" w:space="0" w:color="auto"/>
        <w:left w:val="none" w:sz="0" w:space="0" w:color="auto"/>
        <w:bottom w:val="none" w:sz="0" w:space="0" w:color="auto"/>
        <w:right w:val="none" w:sz="0" w:space="0" w:color="auto"/>
      </w:divBdr>
      <w:divsChild>
        <w:div w:id="106001274">
          <w:marLeft w:val="0"/>
          <w:marRight w:val="0"/>
          <w:marTop w:val="0"/>
          <w:marBottom w:val="0"/>
          <w:divBdr>
            <w:top w:val="none" w:sz="0" w:space="0" w:color="auto"/>
            <w:left w:val="none" w:sz="0" w:space="0" w:color="auto"/>
            <w:bottom w:val="none" w:sz="0" w:space="0" w:color="auto"/>
            <w:right w:val="none" w:sz="0" w:space="0" w:color="auto"/>
          </w:divBdr>
        </w:div>
      </w:divsChild>
    </w:div>
    <w:div w:id="1244294611">
      <w:bodyDiv w:val="1"/>
      <w:marLeft w:val="0"/>
      <w:marRight w:val="0"/>
      <w:marTop w:val="0"/>
      <w:marBottom w:val="0"/>
      <w:divBdr>
        <w:top w:val="none" w:sz="0" w:space="0" w:color="auto"/>
        <w:left w:val="none" w:sz="0" w:space="0" w:color="auto"/>
        <w:bottom w:val="none" w:sz="0" w:space="0" w:color="auto"/>
        <w:right w:val="none" w:sz="0" w:space="0" w:color="auto"/>
      </w:divBdr>
    </w:div>
    <w:div w:id="1554462714">
      <w:bodyDiv w:val="1"/>
      <w:marLeft w:val="0"/>
      <w:marRight w:val="0"/>
      <w:marTop w:val="0"/>
      <w:marBottom w:val="0"/>
      <w:divBdr>
        <w:top w:val="none" w:sz="0" w:space="0" w:color="auto"/>
        <w:left w:val="none" w:sz="0" w:space="0" w:color="auto"/>
        <w:bottom w:val="none" w:sz="0" w:space="0" w:color="auto"/>
        <w:right w:val="none" w:sz="0" w:space="0" w:color="auto"/>
      </w:divBdr>
    </w:div>
    <w:div w:id="1908998964">
      <w:bodyDiv w:val="1"/>
      <w:marLeft w:val="0"/>
      <w:marRight w:val="0"/>
      <w:marTop w:val="0"/>
      <w:marBottom w:val="0"/>
      <w:divBdr>
        <w:top w:val="none" w:sz="0" w:space="0" w:color="auto"/>
        <w:left w:val="none" w:sz="0" w:space="0" w:color="auto"/>
        <w:bottom w:val="none" w:sz="0" w:space="0" w:color="auto"/>
        <w:right w:val="none" w:sz="0" w:space="0" w:color="auto"/>
      </w:divBdr>
      <w:divsChild>
        <w:div w:id="881552238">
          <w:marLeft w:val="0"/>
          <w:marRight w:val="0"/>
          <w:marTop w:val="0"/>
          <w:marBottom w:val="0"/>
          <w:divBdr>
            <w:top w:val="none" w:sz="0" w:space="0" w:color="auto"/>
            <w:left w:val="none" w:sz="0" w:space="0" w:color="auto"/>
            <w:bottom w:val="none" w:sz="0" w:space="0" w:color="auto"/>
            <w:right w:val="none" w:sz="0" w:space="0" w:color="auto"/>
          </w:divBdr>
        </w:div>
      </w:divsChild>
    </w:div>
    <w:div w:id="1910190165">
      <w:bodyDiv w:val="1"/>
      <w:marLeft w:val="0"/>
      <w:marRight w:val="0"/>
      <w:marTop w:val="0"/>
      <w:marBottom w:val="0"/>
      <w:divBdr>
        <w:top w:val="none" w:sz="0" w:space="0" w:color="auto"/>
        <w:left w:val="none" w:sz="0" w:space="0" w:color="auto"/>
        <w:bottom w:val="none" w:sz="0" w:space="0" w:color="auto"/>
        <w:right w:val="none" w:sz="0" w:space="0" w:color="auto"/>
      </w:divBdr>
    </w:div>
    <w:div w:id="21429926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75</TotalTime>
  <Pages>13</Pages>
  <Words>2979</Words>
  <Characters>16985</Characters>
  <Application>Microsoft Macintosh Word</Application>
  <DocSecurity>0</DocSecurity>
  <Lines>141</Lines>
  <Paragraphs>33</Paragraphs>
  <ScaleCrop>false</ScaleCrop>
  <Company/>
  <LinksUpToDate>false</LinksUpToDate>
  <CharactersWithSpaces>20858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Bouldin</dc:creator>
  <cp:keywords/>
  <dc:description/>
  <cp:lastModifiedBy>Emory College</cp:lastModifiedBy>
  <cp:revision>19</cp:revision>
  <cp:lastPrinted>2011-12-05T20:11:00Z</cp:lastPrinted>
  <dcterms:created xsi:type="dcterms:W3CDTF">2011-12-05T20:11:00Z</dcterms:created>
  <dcterms:modified xsi:type="dcterms:W3CDTF">2012-04-06T20:04:00Z</dcterms:modified>
</cp:coreProperties>
</file>