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068" w:type="dxa"/>
        <w:tblInd w:w="108" w:type="dxa"/>
        <w:tblLook w:val="04A0" w:firstRow="1" w:lastRow="0" w:firstColumn="1" w:lastColumn="0" w:noHBand="0" w:noVBand="1"/>
      </w:tblPr>
      <w:tblGrid>
        <w:gridCol w:w="1973"/>
        <w:gridCol w:w="1177"/>
        <w:gridCol w:w="1260"/>
        <w:gridCol w:w="4320"/>
        <w:gridCol w:w="4338"/>
      </w:tblGrid>
      <w:tr w:rsidR="00D70767" w:rsidTr="000C0EA9">
        <w:tc>
          <w:tcPr>
            <w:tcW w:w="13068" w:type="dxa"/>
            <w:gridSpan w:val="5"/>
          </w:tcPr>
          <w:p w:rsidR="00D70767" w:rsidRDefault="00D70767" w:rsidP="005427CE">
            <w:pPr>
              <w:jc w:val="center"/>
              <w:rPr>
                <w:b/>
              </w:rPr>
            </w:pPr>
            <w:r w:rsidRPr="005427CE">
              <w:rPr>
                <w:b/>
              </w:rPr>
              <w:t>Table 2. Odds Ratios (ORs) and 95% Confidence Intervals (CIs) for</w:t>
            </w:r>
            <w:r>
              <w:rPr>
                <w:b/>
              </w:rPr>
              <w:t xml:space="preserve"> </w:t>
            </w:r>
            <w:proofErr w:type="spellStart"/>
            <w:r>
              <w:rPr>
                <w:b/>
              </w:rPr>
              <w:t>Interpregnancy</w:t>
            </w:r>
            <w:proofErr w:type="spellEnd"/>
            <w:r>
              <w:rPr>
                <w:b/>
              </w:rPr>
              <w:t xml:space="preserve"> Interval and Autism Spectrum Disorder</w:t>
            </w:r>
            <w:r w:rsidRPr="005427CE">
              <w:rPr>
                <w:b/>
              </w:rPr>
              <w:t>s in the CHARGE Study (n=499), California, years 2003-2011</w:t>
            </w:r>
          </w:p>
          <w:p w:rsidR="00D70767" w:rsidRDefault="00D70767" w:rsidP="005427CE">
            <w:pPr>
              <w:jc w:val="center"/>
              <w:rPr>
                <w:b/>
              </w:rPr>
            </w:pPr>
          </w:p>
        </w:tc>
      </w:tr>
      <w:tr w:rsidR="00D70767" w:rsidTr="00D70767">
        <w:trPr>
          <w:trHeight w:val="90"/>
        </w:trPr>
        <w:tc>
          <w:tcPr>
            <w:tcW w:w="1973" w:type="dxa"/>
            <w:vMerge w:val="restart"/>
          </w:tcPr>
          <w:p w:rsidR="00D70767" w:rsidRDefault="00D70767" w:rsidP="007112AD">
            <w:pPr>
              <w:rPr>
                <w:b/>
              </w:rPr>
            </w:pPr>
            <w:proofErr w:type="spellStart"/>
            <w:r w:rsidRPr="005427CE">
              <w:rPr>
                <w:b/>
              </w:rPr>
              <w:t>Interpregnancy</w:t>
            </w:r>
            <w:proofErr w:type="spellEnd"/>
            <w:r w:rsidRPr="005427CE">
              <w:rPr>
                <w:b/>
              </w:rPr>
              <w:t xml:space="preserve"> Interval</w:t>
            </w:r>
          </w:p>
          <w:p w:rsidR="00D70767" w:rsidRDefault="00D70767" w:rsidP="007112AD"/>
        </w:tc>
        <w:tc>
          <w:tcPr>
            <w:tcW w:w="1177" w:type="dxa"/>
            <w:vMerge w:val="restart"/>
          </w:tcPr>
          <w:p w:rsidR="00D70767" w:rsidRDefault="00D70767" w:rsidP="005427CE">
            <w:pPr>
              <w:jc w:val="center"/>
              <w:rPr>
                <w:b/>
              </w:rPr>
            </w:pPr>
            <w:r>
              <w:rPr>
                <w:b/>
              </w:rPr>
              <w:t>Case (n=265)</w:t>
            </w:r>
          </w:p>
        </w:tc>
        <w:tc>
          <w:tcPr>
            <w:tcW w:w="1260" w:type="dxa"/>
            <w:vMerge w:val="restart"/>
          </w:tcPr>
          <w:p w:rsidR="00D70767" w:rsidRDefault="00D70767" w:rsidP="005427CE">
            <w:pPr>
              <w:jc w:val="center"/>
              <w:rPr>
                <w:b/>
              </w:rPr>
            </w:pPr>
            <w:r>
              <w:rPr>
                <w:b/>
              </w:rPr>
              <w:t>Control (n=234)</w:t>
            </w:r>
          </w:p>
        </w:tc>
        <w:tc>
          <w:tcPr>
            <w:tcW w:w="4320" w:type="dxa"/>
          </w:tcPr>
          <w:p w:rsidR="00D70767" w:rsidRPr="005427CE" w:rsidRDefault="00D70767" w:rsidP="005427CE">
            <w:pPr>
              <w:jc w:val="center"/>
              <w:rPr>
                <w:b/>
              </w:rPr>
            </w:pPr>
            <w:r>
              <w:rPr>
                <w:b/>
              </w:rPr>
              <w:t>Unadjusted OR (95% CI)</w:t>
            </w:r>
          </w:p>
        </w:tc>
        <w:tc>
          <w:tcPr>
            <w:tcW w:w="4338" w:type="dxa"/>
          </w:tcPr>
          <w:p w:rsidR="00D70767" w:rsidRPr="005427CE" w:rsidRDefault="00D70767" w:rsidP="005427CE">
            <w:pPr>
              <w:jc w:val="center"/>
              <w:rPr>
                <w:b/>
              </w:rPr>
            </w:pPr>
            <w:r>
              <w:rPr>
                <w:b/>
              </w:rPr>
              <w:t>Adjusted OR (95% CI)</w:t>
            </w:r>
            <w:r w:rsidRPr="00EB5F20">
              <w:rPr>
                <w:b/>
                <w:vertAlign w:val="superscript"/>
              </w:rPr>
              <w:t>a</w:t>
            </w:r>
          </w:p>
        </w:tc>
      </w:tr>
      <w:tr w:rsidR="00D70767" w:rsidTr="00D70767">
        <w:tc>
          <w:tcPr>
            <w:tcW w:w="1973" w:type="dxa"/>
            <w:vMerge/>
          </w:tcPr>
          <w:p w:rsidR="00D70767" w:rsidRPr="005427CE" w:rsidRDefault="00D70767" w:rsidP="007112AD">
            <w:pPr>
              <w:rPr>
                <w:b/>
              </w:rPr>
            </w:pPr>
          </w:p>
        </w:tc>
        <w:tc>
          <w:tcPr>
            <w:tcW w:w="1177" w:type="dxa"/>
            <w:vMerge/>
          </w:tcPr>
          <w:p w:rsidR="00D70767" w:rsidRDefault="00D70767"/>
        </w:tc>
        <w:tc>
          <w:tcPr>
            <w:tcW w:w="1260" w:type="dxa"/>
            <w:vMerge/>
          </w:tcPr>
          <w:p w:rsidR="00D70767" w:rsidRDefault="00D70767"/>
        </w:tc>
        <w:tc>
          <w:tcPr>
            <w:tcW w:w="4320" w:type="dxa"/>
          </w:tcPr>
          <w:p w:rsidR="00D70767" w:rsidRDefault="00D70767"/>
        </w:tc>
        <w:tc>
          <w:tcPr>
            <w:tcW w:w="4338" w:type="dxa"/>
          </w:tcPr>
          <w:p w:rsidR="00D70767" w:rsidRDefault="00D70767"/>
        </w:tc>
      </w:tr>
      <w:tr w:rsidR="00D70767" w:rsidTr="00D70767">
        <w:tc>
          <w:tcPr>
            <w:tcW w:w="1973" w:type="dxa"/>
          </w:tcPr>
          <w:p w:rsidR="00D70767" w:rsidRPr="00EB5F20" w:rsidRDefault="00D70767" w:rsidP="00EB5F20">
            <w:pPr>
              <w:jc w:val="center"/>
              <w:rPr>
                <w:rFonts w:asciiTheme="majorHAnsi" w:hAnsiTheme="majorHAnsi"/>
                <w:sz w:val="24"/>
                <w:szCs w:val="24"/>
              </w:rPr>
            </w:pPr>
            <w:r w:rsidRPr="00EB5F20">
              <w:rPr>
                <w:rFonts w:asciiTheme="majorHAnsi" w:hAnsiTheme="majorHAnsi"/>
                <w:sz w:val="24"/>
                <w:szCs w:val="24"/>
              </w:rPr>
              <w:t>≤ 12 months</w:t>
            </w:r>
          </w:p>
        </w:tc>
        <w:tc>
          <w:tcPr>
            <w:tcW w:w="1177" w:type="dxa"/>
          </w:tcPr>
          <w:p w:rsidR="00D70767" w:rsidRDefault="00D70767" w:rsidP="00EB5F20">
            <w:pPr>
              <w:jc w:val="center"/>
              <w:rPr>
                <w:rFonts w:cs="Times New Roman"/>
              </w:rPr>
            </w:pPr>
            <w:r>
              <w:rPr>
                <w:rFonts w:cs="Times New Roman"/>
              </w:rPr>
              <w:t>58</w:t>
            </w:r>
          </w:p>
        </w:tc>
        <w:tc>
          <w:tcPr>
            <w:tcW w:w="1260" w:type="dxa"/>
          </w:tcPr>
          <w:p w:rsidR="00D70767" w:rsidRDefault="00D70767" w:rsidP="00EB5F20">
            <w:pPr>
              <w:jc w:val="center"/>
              <w:rPr>
                <w:rFonts w:cs="Times New Roman"/>
              </w:rPr>
            </w:pPr>
            <w:r>
              <w:rPr>
                <w:rFonts w:cs="Times New Roman"/>
              </w:rPr>
              <w:t>32</w:t>
            </w:r>
          </w:p>
        </w:tc>
        <w:tc>
          <w:tcPr>
            <w:tcW w:w="4320" w:type="dxa"/>
          </w:tcPr>
          <w:p w:rsidR="00D70767" w:rsidRPr="00EB5F20" w:rsidRDefault="00D70767" w:rsidP="00EB5F20">
            <w:pPr>
              <w:jc w:val="center"/>
            </w:pPr>
            <w:r w:rsidRPr="00EB5F20">
              <w:rPr>
                <w:rFonts w:cs="Times New Roman"/>
              </w:rPr>
              <w:t>1.8 (1.1- 2.8)</w:t>
            </w:r>
          </w:p>
        </w:tc>
        <w:tc>
          <w:tcPr>
            <w:tcW w:w="4338" w:type="dxa"/>
          </w:tcPr>
          <w:p w:rsidR="00D70767" w:rsidRPr="00EB5F20" w:rsidRDefault="00D70767" w:rsidP="00EB5F20">
            <w:pPr>
              <w:jc w:val="center"/>
            </w:pPr>
            <w:r w:rsidRPr="00EB5F20">
              <w:rPr>
                <w:rFonts w:cs="Times New Roman"/>
              </w:rPr>
              <w:t>2.0 (1.2-3.6)</w:t>
            </w:r>
          </w:p>
        </w:tc>
      </w:tr>
      <w:tr w:rsidR="00D70767" w:rsidTr="00D70767">
        <w:tc>
          <w:tcPr>
            <w:tcW w:w="1973" w:type="dxa"/>
          </w:tcPr>
          <w:p w:rsidR="00D70767" w:rsidRPr="00EB5F20" w:rsidRDefault="00D70767" w:rsidP="00EB5F20">
            <w:pPr>
              <w:jc w:val="center"/>
              <w:rPr>
                <w:rFonts w:asciiTheme="majorHAnsi" w:hAnsiTheme="majorHAnsi"/>
                <w:sz w:val="24"/>
                <w:szCs w:val="24"/>
              </w:rPr>
            </w:pPr>
            <w:r w:rsidRPr="00EB5F20">
              <w:rPr>
                <w:rFonts w:asciiTheme="majorHAnsi" w:hAnsiTheme="majorHAnsi"/>
                <w:sz w:val="24"/>
                <w:szCs w:val="24"/>
              </w:rPr>
              <w:t>&gt; 12 months</w:t>
            </w:r>
          </w:p>
        </w:tc>
        <w:tc>
          <w:tcPr>
            <w:tcW w:w="1177" w:type="dxa"/>
          </w:tcPr>
          <w:p w:rsidR="00D70767" w:rsidRDefault="00D70767" w:rsidP="00EB5F20">
            <w:pPr>
              <w:jc w:val="center"/>
            </w:pPr>
            <w:r>
              <w:t>207</w:t>
            </w:r>
          </w:p>
        </w:tc>
        <w:tc>
          <w:tcPr>
            <w:tcW w:w="1260" w:type="dxa"/>
          </w:tcPr>
          <w:p w:rsidR="00D70767" w:rsidRDefault="00D70767" w:rsidP="00EB5F20">
            <w:pPr>
              <w:jc w:val="center"/>
            </w:pPr>
            <w:r>
              <w:t>202</w:t>
            </w:r>
          </w:p>
        </w:tc>
        <w:tc>
          <w:tcPr>
            <w:tcW w:w="4320" w:type="dxa"/>
          </w:tcPr>
          <w:p w:rsidR="00D70767" w:rsidRPr="00EB5F20" w:rsidRDefault="00D70767" w:rsidP="00EB5F20">
            <w:pPr>
              <w:jc w:val="center"/>
            </w:pPr>
            <w:r>
              <w:t>1.0</w:t>
            </w:r>
          </w:p>
        </w:tc>
        <w:tc>
          <w:tcPr>
            <w:tcW w:w="4338" w:type="dxa"/>
          </w:tcPr>
          <w:p w:rsidR="00D70767" w:rsidRPr="00EB5F20" w:rsidRDefault="00D70767" w:rsidP="00EB5F20">
            <w:pPr>
              <w:jc w:val="center"/>
            </w:pPr>
            <w:r>
              <w:t>1.0</w:t>
            </w:r>
          </w:p>
        </w:tc>
      </w:tr>
      <w:tr w:rsidR="00D70767" w:rsidTr="00D70767">
        <w:tc>
          <w:tcPr>
            <w:tcW w:w="1973" w:type="dxa"/>
          </w:tcPr>
          <w:p w:rsidR="00D70767" w:rsidRPr="00EB5F20" w:rsidRDefault="00D70767" w:rsidP="00EB5F20">
            <w:pPr>
              <w:jc w:val="center"/>
              <w:rPr>
                <w:rFonts w:asciiTheme="majorHAnsi" w:hAnsiTheme="majorHAnsi"/>
                <w:sz w:val="24"/>
                <w:szCs w:val="24"/>
              </w:rPr>
            </w:pPr>
          </w:p>
        </w:tc>
        <w:tc>
          <w:tcPr>
            <w:tcW w:w="1177" w:type="dxa"/>
          </w:tcPr>
          <w:p w:rsidR="00D70767" w:rsidRPr="00EB5F20" w:rsidRDefault="00D70767" w:rsidP="00EB5F20">
            <w:pPr>
              <w:jc w:val="center"/>
            </w:pPr>
          </w:p>
        </w:tc>
        <w:tc>
          <w:tcPr>
            <w:tcW w:w="1260" w:type="dxa"/>
          </w:tcPr>
          <w:p w:rsidR="00D70767" w:rsidRPr="00EB5F20" w:rsidRDefault="00D70767" w:rsidP="00EB5F20">
            <w:pPr>
              <w:jc w:val="center"/>
            </w:pPr>
          </w:p>
        </w:tc>
        <w:tc>
          <w:tcPr>
            <w:tcW w:w="4320" w:type="dxa"/>
          </w:tcPr>
          <w:p w:rsidR="00D70767" w:rsidRPr="00EB5F20" w:rsidRDefault="00D70767" w:rsidP="00EB5F20">
            <w:pPr>
              <w:jc w:val="center"/>
            </w:pPr>
          </w:p>
        </w:tc>
        <w:tc>
          <w:tcPr>
            <w:tcW w:w="4338" w:type="dxa"/>
          </w:tcPr>
          <w:p w:rsidR="00D70767" w:rsidRPr="00EB5F20" w:rsidRDefault="00D70767" w:rsidP="00EB5F20">
            <w:pPr>
              <w:jc w:val="center"/>
            </w:pPr>
          </w:p>
        </w:tc>
      </w:tr>
      <w:tr w:rsidR="00D70767" w:rsidTr="00D70767">
        <w:tc>
          <w:tcPr>
            <w:tcW w:w="1973" w:type="dxa"/>
          </w:tcPr>
          <w:p w:rsidR="00D70767" w:rsidRPr="00EB5F20" w:rsidRDefault="00D70767" w:rsidP="00EB5F20">
            <w:pPr>
              <w:jc w:val="center"/>
              <w:rPr>
                <w:rFonts w:asciiTheme="majorHAnsi" w:hAnsiTheme="majorHAnsi"/>
                <w:sz w:val="24"/>
                <w:szCs w:val="24"/>
              </w:rPr>
            </w:pPr>
            <w:r w:rsidRPr="00EB5F20">
              <w:rPr>
                <w:rFonts w:asciiTheme="majorHAnsi" w:hAnsiTheme="majorHAnsi"/>
                <w:sz w:val="24"/>
                <w:szCs w:val="24"/>
              </w:rPr>
              <w:t>≤ 12 months</w:t>
            </w:r>
          </w:p>
        </w:tc>
        <w:tc>
          <w:tcPr>
            <w:tcW w:w="1177" w:type="dxa"/>
          </w:tcPr>
          <w:p w:rsidR="00D70767" w:rsidRDefault="00D70767" w:rsidP="00EB5F20">
            <w:pPr>
              <w:jc w:val="center"/>
            </w:pPr>
            <w:r>
              <w:t>58</w:t>
            </w:r>
          </w:p>
        </w:tc>
        <w:tc>
          <w:tcPr>
            <w:tcW w:w="1260" w:type="dxa"/>
          </w:tcPr>
          <w:p w:rsidR="00D70767" w:rsidRDefault="00D70767" w:rsidP="00EB5F20">
            <w:pPr>
              <w:jc w:val="center"/>
            </w:pPr>
            <w:r>
              <w:t>32</w:t>
            </w:r>
          </w:p>
        </w:tc>
        <w:tc>
          <w:tcPr>
            <w:tcW w:w="4320" w:type="dxa"/>
          </w:tcPr>
          <w:p w:rsidR="00D70767" w:rsidRPr="00EB5F20" w:rsidRDefault="00D70767" w:rsidP="00EB5F20">
            <w:pPr>
              <w:jc w:val="center"/>
            </w:pPr>
            <w:r>
              <w:t>1.8 (1.1- 2.9)</w:t>
            </w:r>
          </w:p>
        </w:tc>
        <w:tc>
          <w:tcPr>
            <w:tcW w:w="4338" w:type="dxa"/>
          </w:tcPr>
          <w:p w:rsidR="00D70767" w:rsidRPr="00EB5F20" w:rsidRDefault="00D70767" w:rsidP="00FE07BA">
            <w:pPr>
              <w:jc w:val="center"/>
            </w:pPr>
            <w:r>
              <w:t>2.1 (1.2-3.9)</w:t>
            </w:r>
          </w:p>
        </w:tc>
      </w:tr>
      <w:tr w:rsidR="00D70767" w:rsidTr="00D70767">
        <w:tc>
          <w:tcPr>
            <w:tcW w:w="1973" w:type="dxa"/>
          </w:tcPr>
          <w:p w:rsidR="00D70767" w:rsidRPr="00EB5F20" w:rsidRDefault="00D70767" w:rsidP="00EB5F20">
            <w:pPr>
              <w:jc w:val="center"/>
              <w:rPr>
                <w:rFonts w:asciiTheme="majorHAnsi" w:hAnsiTheme="majorHAnsi"/>
                <w:sz w:val="24"/>
                <w:szCs w:val="24"/>
              </w:rPr>
            </w:pPr>
            <w:r w:rsidRPr="00EB5F20">
              <w:rPr>
                <w:rFonts w:asciiTheme="majorHAnsi" w:hAnsiTheme="majorHAnsi"/>
                <w:sz w:val="24"/>
                <w:szCs w:val="24"/>
              </w:rPr>
              <w:t>12-24 months</w:t>
            </w:r>
          </w:p>
        </w:tc>
        <w:tc>
          <w:tcPr>
            <w:tcW w:w="1177" w:type="dxa"/>
          </w:tcPr>
          <w:p w:rsidR="00D70767" w:rsidRDefault="00D70767" w:rsidP="00EB5F20">
            <w:pPr>
              <w:jc w:val="center"/>
            </w:pPr>
            <w:r>
              <w:t>85</w:t>
            </w:r>
          </w:p>
        </w:tc>
        <w:tc>
          <w:tcPr>
            <w:tcW w:w="1260" w:type="dxa"/>
          </w:tcPr>
          <w:p w:rsidR="00D70767" w:rsidRDefault="00D70767" w:rsidP="00EB5F20">
            <w:pPr>
              <w:jc w:val="center"/>
            </w:pPr>
            <w:r>
              <w:t>83</w:t>
            </w:r>
          </w:p>
        </w:tc>
        <w:tc>
          <w:tcPr>
            <w:tcW w:w="4320" w:type="dxa"/>
          </w:tcPr>
          <w:p w:rsidR="00D70767" w:rsidRPr="00EB5F20" w:rsidRDefault="00D70767" w:rsidP="00EB5F20">
            <w:pPr>
              <w:jc w:val="center"/>
            </w:pPr>
            <w:r>
              <w:t>1.0 (0.7- 1.5)</w:t>
            </w:r>
          </w:p>
        </w:tc>
        <w:tc>
          <w:tcPr>
            <w:tcW w:w="4338" w:type="dxa"/>
          </w:tcPr>
          <w:p w:rsidR="00D70767" w:rsidRPr="00EB5F20" w:rsidRDefault="00D70767" w:rsidP="00FE07BA">
            <w:pPr>
              <w:jc w:val="center"/>
            </w:pPr>
            <w:r>
              <w:t>1.1 (0.71-1.8)</w:t>
            </w:r>
          </w:p>
        </w:tc>
      </w:tr>
      <w:tr w:rsidR="00D70767" w:rsidTr="00D70767">
        <w:tc>
          <w:tcPr>
            <w:tcW w:w="1973" w:type="dxa"/>
          </w:tcPr>
          <w:p w:rsidR="00D70767" w:rsidRPr="00EB5F20" w:rsidRDefault="00D70767" w:rsidP="00EB5F20">
            <w:pPr>
              <w:jc w:val="center"/>
              <w:rPr>
                <w:rFonts w:asciiTheme="majorHAnsi" w:hAnsiTheme="majorHAnsi"/>
                <w:sz w:val="24"/>
                <w:szCs w:val="24"/>
              </w:rPr>
            </w:pPr>
            <w:r w:rsidRPr="00EB5F20">
              <w:rPr>
                <w:rFonts w:asciiTheme="majorHAnsi" w:hAnsiTheme="majorHAnsi"/>
                <w:sz w:val="24"/>
                <w:szCs w:val="24"/>
              </w:rPr>
              <w:t>&gt;24 months</w:t>
            </w:r>
          </w:p>
        </w:tc>
        <w:tc>
          <w:tcPr>
            <w:tcW w:w="1177" w:type="dxa"/>
          </w:tcPr>
          <w:p w:rsidR="00D70767" w:rsidRDefault="00D70767" w:rsidP="00EB5F20">
            <w:pPr>
              <w:jc w:val="center"/>
            </w:pPr>
            <w:r>
              <w:t>122</w:t>
            </w:r>
          </w:p>
        </w:tc>
        <w:tc>
          <w:tcPr>
            <w:tcW w:w="1260" w:type="dxa"/>
          </w:tcPr>
          <w:p w:rsidR="00D70767" w:rsidRDefault="00D70767" w:rsidP="00EB5F20">
            <w:pPr>
              <w:jc w:val="center"/>
            </w:pPr>
            <w:r>
              <w:t>119</w:t>
            </w:r>
          </w:p>
        </w:tc>
        <w:tc>
          <w:tcPr>
            <w:tcW w:w="4320" w:type="dxa"/>
          </w:tcPr>
          <w:p w:rsidR="00D70767" w:rsidRPr="00EB5F20" w:rsidRDefault="00D70767" w:rsidP="00EB5F20">
            <w:pPr>
              <w:jc w:val="center"/>
            </w:pPr>
            <w:r>
              <w:t>1.0</w:t>
            </w:r>
          </w:p>
        </w:tc>
        <w:tc>
          <w:tcPr>
            <w:tcW w:w="4338" w:type="dxa"/>
          </w:tcPr>
          <w:p w:rsidR="00D70767" w:rsidRPr="00EB5F20" w:rsidRDefault="00D70767" w:rsidP="00FE07BA">
            <w:pPr>
              <w:jc w:val="center"/>
            </w:pPr>
            <w:r>
              <w:t>1.0</w:t>
            </w:r>
          </w:p>
        </w:tc>
      </w:tr>
    </w:tbl>
    <w:p w:rsidR="00EB5F20" w:rsidRDefault="00EB5F20" w:rsidP="00EB5F20">
      <w:pPr>
        <w:pBdr>
          <w:bottom w:val="single" w:sz="4" w:space="1" w:color="auto"/>
        </w:pBdr>
        <w:rPr>
          <w:b/>
          <w:vertAlign w:val="superscript"/>
        </w:rPr>
      </w:pPr>
    </w:p>
    <w:p w:rsidR="00796D9C" w:rsidRDefault="00EB5F20">
      <w:pPr>
        <w:rPr>
          <w:rFonts w:cs="Times New Roman"/>
        </w:rPr>
      </w:pPr>
      <w:r w:rsidRPr="00EB5F20">
        <w:rPr>
          <w:b/>
          <w:vertAlign w:val="superscript"/>
        </w:rPr>
        <w:t xml:space="preserve">a </w:t>
      </w:r>
      <w:r w:rsidRPr="00EB5F20">
        <w:t xml:space="preserve">Model adjusted for </w:t>
      </w:r>
      <w:r w:rsidRPr="00EB5F20">
        <w:rPr>
          <w:rFonts w:cs="Times New Roman"/>
        </w:rPr>
        <w:t xml:space="preserve">mother’s age, race, education, marital status, birthplace, desire to get pregnant, procedures used to conceive, prenatal vitamin use in the first month of pregnancy, family home ownership, gestational age at first prenatal visit, prenatal vitamin use, </w:t>
      </w:r>
      <w:r w:rsidR="00E86615">
        <w:rPr>
          <w:rFonts w:cs="Times New Roman"/>
        </w:rPr>
        <w:t xml:space="preserve">gender of child, </w:t>
      </w:r>
      <w:r w:rsidRPr="00EB5F20">
        <w:rPr>
          <w:rFonts w:cs="Times New Roman"/>
        </w:rPr>
        <w:t>and preterm birth</w:t>
      </w:r>
      <w:r w:rsidR="00D70767">
        <w:rPr>
          <w:rFonts w:cs="Times New Roman"/>
        </w:rPr>
        <w:t xml:space="preserve">. 70 observations were dropped due to missing data leaving n= </w:t>
      </w:r>
      <w:proofErr w:type="gramStart"/>
      <w:r w:rsidR="00D70767">
        <w:rPr>
          <w:rFonts w:cs="Times New Roman"/>
        </w:rPr>
        <w:t>230  cases</w:t>
      </w:r>
      <w:proofErr w:type="gramEnd"/>
      <w:r w:rsidR="00D70767">
        <w:rPr>
          <w:rFonts w:cs="Times New Roman"/>
        </w:rPr>
        <w:t xml:space="preserve"> and n=199 controls. </w:t>
      </w:r>
      <w:bookmarkStart w:id="0" w:name="_GoBack"/>
      <w:bookmarkEnd w:id="0"/>
    </w:p>
    <w:p w:rsidR="009B7744" w:rsidRDefault="009B7744">
      <w:pPr>
        <w:rPr>
          <w:rFonts w:cs="Times New Roman"/>
        </w:rPr>
      </w:pPr>
    </w:p>
    <w:p w:rsidR="009B7744" w:rsidRPr="00EB5F20" w:rsidRDefault="009B7744"/>
    <w:sectPr w:rsidR="009B7744" w:rsidRPr="00EB5F20" w:rsidSect="005427C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CE"/>
    <w:rsid w:val="00166E4B"/>
    <w:rsid w:val="00507122"/>
    <w:rsid w:val="005427CE"/>
    <w:rsid w:val="007112AD"/>
    <w:rsid w:val="00766FBD"/>
    <w:rsid w:val="009B7744"/>
    <w:rsid w:val="00D70767"/>
    <w:rsid w:val="00E86615"/>
    <w:rsid w:val="00E96B51"/>
    <w:rsid w:val="00EB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27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27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27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2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9678">
      <w:bodyDiv w:val="1"/>
      <w:marLeft w:val="120"/>
      <w:marRight w:val="120"/>
      <w:marTop w:val="0"/>
      <w:marBottom w:val="0"/>
      <w:divBdr>
        <w:top w:val="none" w:sz="0" w:space="0" w:color="auto"/>
        <w:left w:val="none" w:sz="0" w:space="0" w:color="auto"/>
        <w:bottom w:val="none" w:sz="0" w:space="0" w:color="auto"/>
        <w:right w:val="none" w:sz="0" w:space="0" w:color="auto"/>
      </w:divBdr>
      <w:divsChild>
        <w:div w:id="1743019899">
          <w:marLeft w:val="0"/>
          <w:marRight w:val="0"/>
          <w:marTop w:val="0"/>
          <w:marBottom w:val="0"/>
          <w:divBdr>
            <w:top w:val="none" w:sz="0" w:space="0" w:color="auto"/>
            <w:left w:val="none" w:sz="0" w:space="0" w:color="auto"/>
            <w:bottom w:val="none" w:sz="0" w:space="0" w:color="auto"/>
            <w:right w:val="none" w:sz="0" w:space="0" w:color="auto"/>
          </w:divBdr>
          <w:divsChild>
            <w:div w:id="14017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5846">
      <w:bodyDiv w:val="1"/>
      <w:marLeft w:val="120"/>
      <w:marRight w:val="120"/>
      <w:marTop w:val="0"/>
      <w:marBottom w:val="0"/>
      <w:divBdr>
        <w:top w:val="none" w:sz="0" w:space="0" w:color="auto"/>
        <w:left w:val="none" w:sz="0" w:space="0" w:color="auto"/>
        <w:bottom w:val="none" w:sz="0" w:space="0" w:color="auto"/>
        <w:right w:val="none" w:sz="0" w:space="0" w:color="auto"/>
      </w:divBdr>
      <w:divsChild>
        <w:div w:id="2038198145">
          <w:marLeft w:val="0"/>
          <w:marRight w:val="0"/>
          <w:marTop w:val="0"/>
          <w:marBottom w:val="0"/>
          <w:divBdr>
            <w:top w:val="none" w:sz="0" w:space="0" w:color="auto"/>
            <w:left w:val="none" w:sz="0" w:space="0" w:color="auto"/>
            <w:bottom w:val="none" w:sz="0" w:space="0" w:color="auto"/>
            <w:right w:val="none" w:sz="0" w:space="0" w:color="auto"/>
          </w:divBdr>
          <w:divsChild>
            <w:div w:id="123308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Hutchings, Isabelle Anna</dc:creator>
  <cp:lastModifiedBy>Hutchings, Isabelle Anna</cp:lastModifiedBy>
  <cp:revision>9</cp:revision>
  <cp:lastPrinted>2014-04-04T22:44:00Z</cp:lastPrinted>
  <dcterms:created xsi:type="dcterms:W3CDTF">2014-04-04T18:37:00Z</dcterms:created>
  <dcterms:modified xsi:type="dcterms:W3CDTF">2014-04-15T18:09:00Z</dcterms:modified>
</cp:coreProperties>
</file>